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B231A" w:rsidRDefault="006B7D36">
      <w:pPr>
        <w:pStyle w:val="paragraphheader"/>
        <w:contextualSpacing w:val="0"/>
        <w:jc w:val="center"/>
        <w:rPr>
          <w:b/>
        </w:rPr>
      </w:pPr>
      <w:r>
        <w:rPr>
          <w:b/>
        </w:rPr>
        <w:t>Informācijas par ieņēmumiem un ienākuma nodokļiem atklāšanas likums</w:t>
      </w:r>
    </w:p>
    <w:p w:rsidR="00EB231A" w:rsidRDefault="006B7D36">
      <w:pPr>
        <w:pStyle w:val="paragraphheader"/>
        <w:contextualSpacing w:val="0"/>
        <w:jc w:val="center"/>
        <w:rPr>
          <w:b/>
        </w:rPr>
      </w:pPr>
      <w:r>
        <w:rPr>
          <w:b/>
        </w:rPr>
        <w:t>I</w:t>
      </w:r>
      <w:r>
        <w:t xml:space="preserve"> </w:t>
      </w:r>
      <w:r>
        <w:rPr>
          <w:b/>
        </w:rPr>
        <w:t>nodaļa</w:t>
      </w:r>
      <w:r>
        <w:br/>
      </w:r>
      <w:r>
        <w:rPr>
          <w:b/>
        </w:rPr>
        <w:t>Vispārīgie noteikumi</w:t>
      </w:r>
    </w:p>
    <w:p w:rsidR="00EB231A" w:rsidRDefault="006B7D36">
      <w:pPr>
        <w:pStyle w:val="paragraph"/>
        <w:contextualSpacing w:val="0"/>
      </w:pPr>
      <w:bookmarkStart w:id="0" w:name="_GoBack"/>
      <w:bookmarkEnd w:id="0"/>
      <w:r>
        <w:rPr>
          <w:b/>
        </w:rPr>
        <w:t>1.</w:t>
      </w:r>
      <w:r>
        <w:t xml:space="preserve"> </w:t>
      </w:r>
      <w:r>
        <w:rPr>
          <w:b/>
        </w:rPr>
        <w:t>pants.  Likumā lietotie termini</w:t>
      </w:r>
      <w:r>
        <w:br/>
      </w:r>
      <w:r>
        <w:rPr>
          <w:b/>
        </w:rPr>
        <w:t> </w:t>
      </w:r>
    </w:p>
    <w:p w:rsidR="00EB231A" w:rsidRDefault="006B7D36">
      <w:pPr>
        <w:numPr>
          <w:ilvl w:val="0"/>
          <w:numId w:val="1"/>
        </w:numPr>
        <w:ind w:firstLine="706"/>
      </w:pPr>
      <w:r>
        <w:t>(1) Likumā ir lietoti šādi termini:</w:t>
      </w:r>
    </w:p>
    <w:p w:rsidR="00EB231A" w:rsidRDefault="006B7D36">
      <w:pPr>
        <w:numPr>
          <w:ilvl w:val="0"/>
          <w:numId w:val="1"/>
        </w:numPr>
        <w:ind w:firstLine="0"/>
      </w:pPr>
      <w:r>
        <w:t xml:space="preserve">1) </w:t>
      </w:r>
      <w:r>
        <w:rPr>
          <w:b/>
        </w:rPr>
        <w:t>atsevišķa komercsabiedrība</w:t>
      </w:r>
      <w:r>
        <w:t xml:space="preserve"> - komercsabiedrība, kas nav iekļauta nevienā koncernā (grupā); </w:t>
      </w:r>
    </w:p>
    <w:p w:rsidR="00EB231A" w:rsidRDefault="006B7D36">
      <w:pPr>
        <w:numPr>
          <w:ilvl w:val="0"/>
          <w:numId w:val="1"/>
        </w:numPr>
        <w:ind w:firstLine="0"/>
      </w:pPr>
      <w:r>
        <w:t>2)</w:t>
      </w:r>
      <w:r>
        <w:rPr>
          <w:b/>
        </w:rPr>
        <w:t xml:space="preserve"> ieņēmumi</w:t>
      </w:r>
      <w:r>
        <w:t>: </w:t>
      </w:r>
    </w:p>
    <w:p w:rsidR="00EB231A" w:rsidRDefault="006B7D36">
      <w:pPr>
        <w:numPr>
          <w:ilvl w:val="0"/>
          <w:numId w:val="1"/>
        </w:numPr>
        <w:ind w:firstLine="0"/>
      </w:pPr>
      <w:r>
        <w:t>a) Latvijas Republikā vai citā Eiropas Savienības dalībvalstī reģistrētā komercsabiedrībā, kura finanšu pārskatu sagatavošanai un  ieņēmumu atzīšanai finanšu pārskatos piemēro a</w:t>
      </w:r>
      <w:r>
        <w:t>ttiecīgās dalībvalsts normatīvos aktus un nepiemēro starptautiskos grāmatvedības standartus, kuri pieņemti saskaņā ar Eiropas Parlamenta un Padomes 2002.gada 19.jūlija regulu (EK) Nr. 1606/2002 par starptautisko grāmatvedības standartu piemērošanu (turpmāk</w:t>
      </w:r>
      <w:r>
        <w:t xml:space="preserve"> — starptautiskie grāmatvedības standarti),  – ieņēmumi no produkcijas vai preču pārdošanas un pakalpojumu sniegšanas, no kuriem atskaitīta tirdzniecības atlaide un citas piešķirtās atlaides, kā arī pievienotās vērtības nodoklis un citi nodokļi, kas tieši </w:t>
      </w:r>
      <w:r>
        <w:t>saistīti ar apgrozījumu (turpmāk – neto apgrozījums),</w:t>
      </w:r>
    </w:p>
    <w:p w:rsidR="00EB231A" w:rsidRDefault="006B7D36">
      <w:pPr>
        <w:numPr>
          <w:ilvl w:val="0"/>
          <w:numId w:val="1"/>
        </w:numPr>
        <w:ind w:firstLine="0"/>
      </w:pPr>
      <w:r>
        <w:t>b) Latvijas Republikā vai citā Eiropas Savienības dalībvalstī reģistrētā komercsabiedrībā, kura finanšu pārskatus sagatavo atbilstoši starptautiskajiem grāmatvedības standartiem, – ieņēmumi tādā nozīmē,</w:t>
      </w:r>
      <w:r>
        <w:t xml:space="preserve"> kura atbilst Komisijas 2008.gada 3.novembra regulas (EK) Nr.1126/2008, ar ko pieņem vairākus starptautiskos grāmatvedības standartus saskaņā ar Eiropas Parlamenta un Padomes regulu (EK) Nr. 1606/2002, pielikumā minētajos starptautiskajos grāmatvedības sta</w:t>
      </w:r>
      <w:r>
        <w:t>ndartos un starptautiskajos finanšu pārskatu standartos lietotajam terminam "</w:t>
      </w:r>
      <w:proofErr w:type="spellStart"/>
      <w:r>
        <w:t>ieņēmumi",c</w:t>
      </w:r>
      <w:proofErr w:type="spellEnd"/>
      <w:r>
        <w:t>) trešās valsts komercsabiedrībā – ieņēmumi tādā nozīmē, kāda tiem piešķirta saskaņā ar attiecīgajā trešajā valstī noteikto finanšu pārskatu sagatavošanas sistēmu, pama</w:t>
      </w:r>
      <w:r>
        <w:t>tojoties uz kuru tiek sagatavoti šīs komercsabiedrības finanšu pārskati;</w:t>
      </w:r>
    </w:p>
    <w:p w:rsidR="00EB231A" w:rsidRDefault="006B7D36">
      <w:pPr>
        <w:numPr>
          <w:ilvl w:val="0"/>
          <w:numId w:val="1"/>
        </w:numPr>
        <w:ind w:firstLine="0"/>
      </w:pPr>
      <w:r>
        <w:t xml:space="preserve">3) </w:t>
      </w:r>
      <w:r>
        <w:rPr>
          <w:b/>
        </w:rPr>
        <w:t>komercsabiedrības filiāle</w:t>
      </w:r>
      <w:r>
        <w:t xml:space="preserve"> – komercsabiedrības struktūrvienība, kurai nav juridiskās personas statusa un kura darbojas šīs komercsabiedrības vārdā. Tā ir minētās komercsabiedrības o</w:t>
      </w:r>
      <w:r>
        <w:t>rganizatoriski patstāvīga daļa, kura teritoriāli vai citādi nošķirta no šīs komercsabiedrības, reģistrēta Latvijas Republikā un savā atrašanās vietā attiecīgās komercsabiedrības vārdā sistemātiski veic komercdarbību. Šā likuma izpratnē par komercsabiedrība</w:t>
      </w:r>
      <w:r>
        <w:t>s filiāli uzskatāma arī nerezidenta (ārvalsts komercsabiedrības) pastāvīgā pārstāvniecība (likuma “Par nodokļiem un nodevām” izpratnē);</w:t>
      </w:r>
    </w:p>
    <w:p w:rsidR="00EB231A" w:rsidRDefault="006B7D36">
      <w:pPr>
        <w:numPr>
          <w:ilvl w:val="0"/>
          <w:numId w:val="1"/>
        </w:numPr>
        <w:ind w:firstLine="0"/>
      </w:pPr>
      <w:r>
        <w:t xml:space="preserve">4) </w:t>
      </w:r>
      <w:r>
        <w:rPr>
          <w:b/>
        </w:rPr>
        <w:t xml:space="preserve">koncerna (grupas) galvenā </w:t>
      </w:r>
      <w:proofErr w:type="spellStart"/>
      <w:r>
        <w:rPr>
          <w:b/>
        </w:rPr>
        <w:t>mātessabiedrība</w:t>
      </w:r>
      <w:proofErr w:type="spellEnd"/>
      <w:r>
        <w:t xml:space="preserve"> - komercsabiedrība, kas sagatavo koncerna (grupas) komercsabiedrību kopuma </w:t>
      </w:r>
      <w:r>
        <w:t>konsolidētos finanšu pārskatus; </w:t>
      </w:r>
    </w:p>
    <w:p w:rsidR="00EB231A" w:rsidRDefault="006B7D36">
      <w:pPr>
        <w:numPr>
          <w:ilvl w:val="0"/>
          <w:numId w:val="1"/>
        </w:numPr>
        <w:ind w:firstLine="0"/>
      </w:pPr>
      <w:r>
        <w:t xml:space="preserve">5) </w:t>
      </w:r>
      <w:r>
        <w:rPr>
          <w:b/>
        </w:rPr>
        <w:t xml:space="preserve">koncerna (grupas) </w:t>
      </w:r>
      <w:proofErr w:type="spellStart"/>
      <w:r>
        <w:rPr>
          <w:b/>
        </w:rPr>
        <w:t>mātessabiedrība</w:t>
      </w:r>
      <w:proofErr w:type="spellEnd"/>
      <w:r>
        <w:t xml:space="preserve"> — komercsabiedrība, kura kontrolē vienu vai vairākas citas komercsabiedrības — šā koncerna (grupas) </w:t>
      </w:r>
      <w:proofErr w:type="spellStart"/>
      <w:r>
        <w:t>meitassabiedrības</w:t>
      </w:r>
      <w:proofErr w:type="spellEnd"/>
      <w:r>
        <w:t>; </w:t>
      </w:r>
    </w:p>
    <w:p w:rsidR="00EB231A" w:rsidRDefault="006B7D36">
      <w:pPr>
        <w:numPr>
          <w:ilvl w:val="0"/>
          <w:numId w:val="1"/>
        </w:numPr>
        <w:ind w:firstLine="0"/>
      </w:pPr>
      <w:r>
        <w:lastRenderedPageBreak/>
        <w:t xml:space="preserve">6) </w:t>
      </w:r>
      <w:r>
        <w:rPr>
          <w:b/>
        </w:rPr>
        <w:t xml:space="preserve">koncerna (grupas) </w:t>
      </w:r>
      <w:proofErr w:type="spellStart"/>
      <w:r>
        <w:rPr>
          <w:b/>
        </w:rPr>
        <w:t>meitassabiedrība</w:t>
      </w:r>
      <w:proofErr w:type="spellEnd"/>
      <w:r>
        <w:t xml:space="preserve"> — komercsabiedrība, kuru kon</w:t>
      </w:r>
      <w:r>
        <w:t xml:space="preserve">trolē šā koncerna (grupas) </w:t>
      </w:r>
      <w:proofErr w:type="spellStart"/>
      <w:r>
        <w:t>mātessabiedrība</w:t>
      </w:r>
      <w:proofErr w:type="spellEnd"/>
      <w:r>
        <w:t xml:space="preserve">. Par koncerna (grupas) </w:t>
      </w:r>
      <w:proofErr w:type="spellStart"/>
      <w:r>
        <w:t>meitassabiedrību</w:t>
      </w:r>
      <w:proofErr w:type="spellEnd"/>
      <w:r>
        <w:t xml:space="preserve"> uzskata arī ikvienu šā koncerna (grupas) </w:t>
      </w:r>
      <w:proofErr w:type="spellStart"/>
      <w:r>
        <w:t>meitassabiedrības</w:t>
      </w:r>
      <w:proofErr w:type="spellEnd"/>
      <w:r>
        <w:t xml:space="preserve"> </w:t>
      </w:r>
      <w:proofErr w:type="spellStart"/>
      <w:r>
        <w:t>meitassabiedrību</w:t>
      </w:r>
      <w:proofErr w:type="spellEnd"/>
      <w:r>
        <w:t>; </w:t>
      </w:r>
    </w:p>
    <w:p w:rsidR="00EB231A" w:rsidRDefault="006B7D36">
      <w:pPr>
        <w:numPr>
          <w:ilvl w:val="0"/>
          <w:numId w:val="1"/>
        </w:numPr>
        <w:ind w:firstLine="0"/>
      </w:pPr>
      <w:r>
        <w:t xml:space="preserve">7) </w:t>
      </w:r>
      <w:r>
        <w:rPr>
          <w:b/>
        </w:rPr>
        <w:t>koncerns (grupa)</w:t>
      </w:r>
      <w:r>
        <w:t xml:space="preserve"> — komercsabiedrību kopums, kuru veido koncerna (grupas) </w:t>
      </w:r>
      <w:proofErr w:type="spellStart"/>
      <w:r>
        <w:t>mātessabiedrība</w:t>
      </w:r>
      <w:proofErr w:type="spellEnd"/>
      <w:r>
        <w:t xml:space="preserve"> un </w:t>
      </w:r>
      <w:r>
        <w:t xml:space="preserve">visas tās </w:t>
      </w:r>
      <w:proofErr w:type="spellStart"/>
      <w:r>
        <w:t>meitassabiedrības</w:t>
      </w:r>
      <w:proofErr w:type="spellEnd"/>
      <w:r>
        <w:t>; </w:t>
      </w:r>
    </w:p>
    <w:p w:rsidR="00EB231A" w:rsidRDefault="006B7D36">
      <w:pPr>
        <w:numPr>
          <w:ilvl w:val="0"/>
          <w:numId w:val="1"/>
        </w:numPr>
        <w:ind w:firstLine="0"/>
      </w:pPr>
      <w:r>
        <w:t xml:space="preserve">8) </w:t>
      </w:r>
      <w:r>
        <w:rPr>
          <w:b/>
        </w:rPr>
        <w:t>konsolidētie finanšu pārskati</w:t>
      </w:r>
      <w:r>
        <w:t xml:space="preserve"> - finanšu pārskati, kurus, piemērojot attiecīgas konsolidācijas metodes, sagatavo koncerna (grupas) galvenā </w:t>
      </w:r>
      <w:proofErr w:type="spellStart"/>
      <w:r>
        <w:t>mātessabiedrība</w:t>
      </w:r>
      <w:proofErr w:type="spellEnd"/>
      <w:r>
        <w:t xml:space="preserve"> par koncernu (grupu) kopumā un kuros tā sastāvā iekļauto komercsabied</w:t>
      </w:r>
      <w:r>
        <w:t>rību līdzekļi (aktīvi) un to avoti  - pašu kapitāls, uzkrājumi un saistības, kā arī ieņēmumi un izmaksas ir apvienoti un norādīti kā vienas komercsabiedrības līdzekļi (aktīvi), to avoti, ieņēmumi un izmaksas;</w:t>
      </w:r>
    </w:p>
    <w:p w:rsidR="00EB231A" w:rsidRDefault="006B7D36">
      <w:pPr>
        <w:numPr>
          <w:ilvl w:val="0"/>
          <w:numId w:val="1"/>
        </w:numPr>
        <w:ind w:firstLine="0"/>
      </w:pPr>
      <w:r>
        <w:t xml:space="preserve">9) </w:t>
      </w:r>
      <w:r>
        <w:rPr>
          <w:b/>
        </w:rPr>
        <w:t>nodokļu jurisdikcija</w:t>
      </w:r>
      <w:r>
        <w:t xml:space="preserve"> -  jurisdikcija, kurai </w:t>
      </w:r>
      <w:r>
        <w:t>ir fiskāla autonomija attiecībā uz uzņēmumu ienākuma nodokli un tam pielīdzināmu ienākuma nodokli (turpmāk tekstā – ienākuma nodokļi);</w:t>
      </w:r>
    </w:p>
    <w:p w:rsidR="00EB231A" w:rsidRDefault="006B7D36">
      <w:pPr>
        <w:numPr>
          <w:ilvl w:val="0"/>
          <w:numId w:val="1"/>
        </w:numPr>
        <w:ind w:firstLine="0"/>
      </w:pPr>
      <w:r>
        <w:t xml:space="preserve">10) </w:t>
      </w:r>
      <w:r>
        <w:rPr>
          <w:b/>
        </w:rPr>
        <w:t>radniecīgās sabiedrības</w:t>
      </w:r>
      <w:r>
        <w:t xml:space="preserve"> – jebkuras divas vai vairākas komercsabiedrības, kas pieder pie viena un tā paša koncerna (gr</w:t>
      </w:r>
      <w:r>
        <w:t xml:space="preserve">upas) (piemēram, koncerna (grupas) galvenā </w:t>
      </w:r>
      <w:proofErr w:type="spellStart"/>
      <w:r>
        <w:t>mātessabiedrība</w:t>
      </w:r>
      <w:proofErr w:type="spellEnd"/>
      <w:r>
        <w:t xml:space="preserve"> un tās </w:t>
      </w:r>
      <w:proofErr w:type="spellStart"/>
      <w:r>
        <w:t>meitassabiedrība</w:t>
      </w:r>
      <w:proofErr w:type="spellEnd"/>
      <w:r>
        <w:t xml:space="preserve">, divas vai vairākas </w:t>
      </w:r>
      <w:proofErr w:type="spellStart"/>
      <w:r>
        <w:t>meitassabiedrības</w:t>
      </w:r>
      <w:proofErr w:type="spellEnd"/>
      <w:r>
        <w:t>); </w:t>
      </w:r>
    </w:p>
    <w:p w:rsidR="00EB231A" w:rsidRDefault="006B7D36">
      <w:pPr>
        <w:numPr>
          <w:ilvl w:val="0"/>
          <w:numId w:val="1"/>
        </w:numPr>
        <w:ind w:firstLine="0"/>
      </w:pPr>
      <w:r>
        <w:t xml:space="preserve">11) </w:t>
      </w:r>
      <w:r>
        <w:rPr>
          <w:b/>
        </w:rPr>
        <w:t>starptautisks koncerns (grupa)</w:t>
      </w:r>
      <w:r>
        <w:t xml:space="preserve"> – tāds koncerns (grupa), kura </w:t>
      </w:r>
      <w:proofErr w:type="spellStart"/>
      <w:r>
        <w:t>mātessabiedrības</w:t>
      </w:r>
      <w:proofErr w:type="spellEnd"/>
      <w:r>
        <w:t xml:space="preserve"> saimnieciskās darbības vieta un visu tās </w:t>
      </w:r>
      <w:proofErr w:type="spellStart"/>
      <w:r>
        <w:t>meitassab</w:t>
      </w:r>
      <w:r>
        <w:t>iedrību</w:t>
      </w:r>
      <w:proofErr w:type="spellEnd"/>
      <w:r>
        <w:t xml:space="preserve"> saimnieciskās darbības vieta, kā arī visu minēto radniecīgo sabiedrību filiāļu  saimnieciskās darbības vieta nav tikai vienas valsts teritorija vai viena nodokļu jurisdikcija; </w:t>
      </w:r>
    </w:p>
    <w:p w:rsidR="00EB231A" w:rsidRDefault="006B7D36">
      <w:pPr>
        <w:numPr>
          <w:ilvl w:val="0"/>
          <w:numId w:val="1"/>
        </w:numPr>
        <w:ind w:firstLine="0"/>
      </w:pPr>
      <w:r>
        <w:t xml:space="preserve">12) </w:t>
      </w:r>
      <w:r>
        <w:rPr>
          <w:b/>
        </w:rPr>
        <w:t>trešā valsts</w:t>
      </w:r>
      <w:r>
        <w:t xml:space="preserve"> — valsts, kas nav Eiropas Savienības dalībvalsts. </w:t>
      </w:r>
    </w:p>
    <w:p w:rsidR="00EB231A" w:rsidRDefault="006B7D36">
      <w:pPr>
        <w:numPr>
          <w:ilvl w:val="0"/>
          <w:numId w:val="1"/>
        </w:numPr>
        <w:ind w:firstLine="0"/>
      </w:pPr>
      <w:r>
        <w:t> </w:t>
      </w:r>
    </w:p>
    <w:p w:rsidR="00EB231A" w:rsidRDefault="006B7D36">
      <w:pPr>
        <w:numPr>
          <w:ilvl w:val="0"/>
          <w:numId w:val="1"/>
        </w:numPr>
        <w:ind w:firstLine="706"/>
      </w:pPr>
      <w:r>
        <w:t>(</w:t>
      </w:r>
      <w:r>
        <w:t>2) Likumā lietotais termins "saistītās puses" atbilst Komisijas 2008.gada 3.novembra regulas (EK) Nr. 1126/2008, ar ko pieņem vairākus starptautiskos grāmatvedības standartus saskaņā ar Eiropas Parlamenta un Padomes regulu (EK) Nr. 1606/2002, pielikumā min</w:t>
      </w:r>
      <w:r>
        <w:t>ētajam 24. SGS "Informācijas atklāšana par saistītajām pusēm" lietotajam terminam.</w:t>
      </w:r>
    </w:p>
    <w:p w:rsidR="00EB231A" w:rsidRDefault="006B7D36">
      <w:pPr>
        <w:pStyle w:val="paragraph"/>
        <w:contextualSpacing w:val="0"/>
      </w:pPr>
      <w:r>
        <w:rPr>
          <w:b/>
        </w:rPr>
        <w:t>2.</w:t>
      </w:r>
      <w:r>
        <w:t xml:space="preserve"> </w:t>
      </w:r>
      <w:r>
        <w:rPr>
          <w:b/>
        </w:rPr>
        <w:t>pants. Likuma mērķis</w:t>
      </w:r>
    </w:p>
    <w:p w:rsidR="00EB231A" w:rsidRDefault="006B7D36">
      <w:pPr>
        <w:numPr>
          <w:ilvl w:val="0"/>
          <w:numId w:val="2"/>
        </w:numPr>
        <w:ind w:firstLine="706"/>
      </w:pPr>
      <w:r>
        <w:t>Likuma mērķis ir nodrošināt sabiedrībai pieejamu informāciju par konkrētu starptautisku koncernu (grupu) un atsevišķu komercsabiedrību ieņēmumiem, ie</w:t>
      </w:r>
      <w:r>
        <w:t>nākuma nodokļiem un saimniecisko darbību sadalījumā pa nodokļu vajadzībām izvēlētajām rezidences valstīm vai teritorijām.</w:t>
      </w:r>
    </w:p>
    <w:p w:rsidR="00EB231A" w:rsidRDefault="006B7D36">
      <w:pPr>
        <w:numPr>
          <w:ilvl w:val="0"/>
          <w:numId w:val="2"/>
        </w:numPr>
        <w:ind w:firstLine="0"/>
      </w:pPr>
      <w:r>
        <w:t> </w:t>
      </w:r>
    </w:p>
    <w:p w:rsidR="00EB231A" w:rsidRDefault="006B7D36">
      <w:pPr>
        <w:pStyle w:val="paragraph"/>
        <w:contextualSpacing w:val="0"/>
      </w:pPr>
      <w:r>
        <w:rPr>
          <w:b/>
        </w:rPr>
        <w:t>3.</w:t>
      </w:r>
      <w:r>
        <w:t xml:space="preserve"> </w:t>
      </w:r>
      <w:r>
        <w:rPr>
          <w:b/>
        </w:rPr>
        <w:t>pants. Likuma darbības joma</w:t>
      </w:r>
    </w:p>
    <w:p w:rsidR="00EB231A" w:rsidRDefault="006B7D36">
      <w:pPr>
        <w:numPr>
          <w:ilvl w:val="0"/>
          <w:numId w:val="3"/>
        </w:numPr>
        <w:ind w:firstLine="706"/>
      </w:pPr>
      <w:r>
        <w:t xml:space="preserve">(1) </w:t>
      </w:r>
      <w:r>
        <w:t>Likums nosaka kārtību, kādā sagatavo, iesniedz un publisko pieejamu konkrētu starptautisku koncernu (grupu) un atsevišķu komercsabiedrību pārskatu par ieņēmumiem, ienākuma nodokļiem un saimniecisko darbību sadalījumā pa nodokļu vajadzībām izvēlētajām rezid</w:t>
      </w:r>
      <w:r>
        <w:t>ences valstīm vai teritorijām (turpmāk – pārskats par ienākuma nodokļiem).</w:t>
      </w:r>
    </w:p>
    <w:p w:rsidR="00EB231A" w:rsidRDefault="006B7D36">
      <w:pPr>
        <w:numPr>
          <w:ilvl w:val="0"/>
          <w:numId w:val="3"/>
        </w:numPr>
        <w:ind w:firstLine="706"/>
      </w:pPr>
      <w:r>
        <w:t>(2) Likums attiecas uz Latvijas Republikā reģistrētu:</w:t>
      </w:r>
    </w:p>
    <w:p w:rsidR="00EB231A" w:rsidRDefault="006B7D36">
      <w:pPr>
        <w:numPr>
          <w:ilvl w:val="0"/>
          <w:numId w:val="3"/>
        </w:numPr>
        <w:ind w:firstLine="0"/>
      </w:pPr>
      <w:r>
        <w:t xml:space="preserve">1) komercsabiedrību, kura ir starptautiska koncerna (grupas) galvenā </w:t>
      </w:r>
      <w:proofErr w:type="spellStart"/>
      <w:r>
        <w:t>mātessabiedrība</w:t>
      </w:r>
      <w:proofErr w:type="spellEnd"/>
      <w:r>
        <w:t xml:space="preserve"> (turpmāk – galvenā </w:t>
      </w:r>
      <w:proofErr w:type="spellStart"/>
      <w:r>
        <w:t>mātessabiedrība</w:t>
      </w:r>
      <w:proofErr w:type="spellEnd"/>
      <w:r>
        <w:t>);</w:t>
      </w:r>
    </w:p>
    <w:p w:rsidR="00EB231A" w:rsidRDefault="006B7D36">
      <w:pPr>
        <w:numPr>
          <w:ilvl w:val="0"/>
          <w:numId w:val="3"/>
        </w:numPr>
        <w:ind w:firstLine="0"/>
      </w:pPr>
      <w:r>
        <w:t>2) ko</w:t>
      </w:r>
      <w:r>
        <w:t xml:space="preserve">mercsabiedrību, kura ir starptautiska koncerna (grupas) </w:t>
      </w:r>
      <w:proofErr w:type="spellStart"/>
      <w:r>
        <w:t>meitassabiedrība</w:t>
      </w:r>
      <w:proofErr w:type="spellEnd"/>
      <w:r>
        <w:t xml:space="preserve"> (turpmāk – </w:t>
      </w:r>
      <w:proofErr w:type="spellStart"/>
      <w:r>
        <w:t>meitassabiedrība</w:t>
      </w:r>
      <w:proofErr w:type="spellEnd"/>
      <w:r>
        <w:t>);</w:t>
      </w:r>
    </w:p>
    <w:p w:rsidR="00EB231A" w:rsidRDefault="006B7D36">
      <w:pPr>
        <w:numPr>
          <w:ilvl w:val="0"/>
          <w:numId w:val="3"/>
        </w:numPr>
        <w:ind w:firstLine="0"/>
      </w:pPr>
      <w:r>
        <w:t>3) atsevišķu komercsabiedrību;</w:t>
      </w:r>
    </w:p>
    <w:p w:rsidR="00EB231A" w:rsidRDefault="006B7D36">
      <w:pPr>
        <w:numPr>
          <w:ilvl w:val="0"/>
          <w:numId w:val="3"/>
        </w:numPr>
        <w:ind w:firstLine="0"/>
      </w:pPr>
      <w:r>
        <w:t>4) Eiropas Savienības dalībvalsts, kas nav Latvijas Republika, vai trešās valsts komercsabiedrības filiāli (turpmāk – fili</w:t>
      </w:r>
      <w:r>
        <w:t>āle).</w:t>
      </w:r>
    </w:p>
    <w:p w:rsidR="00EB231A" w:rsidRDefault="006B7D36">
      <w:pPr>
        <w:numPr>
          <w:ilvl w:val="0"/>
          <w:numId w:val="3"/>
        </w:numPr>
        <w:ind w:firstLine="706"/>
      </w:pPr>
      <w:r>
        <w:t>(3) Likums netiek piemērots tādiem šā panta otrajā daļā minētajiem likuma subjektiem, kuri neatbilst šajā likumā noteiktajiem kritērijiem un nosacījumiem vai uz kuriem attiecas šajā likumā noteiktie atbrīvojumi vai likuma piemērošanas izņēmumi.</w:t>
      </w:r>
    </w:p>
    <w:p w:rsidR="00EB231A" w:rsidRDefault="006B7D36">
      <w:pPr>
        <w:pStyle w:val="paragraphheader"/>
        <w:contextualSpacing w:val="0"/>
        <w:jc w:val="center"/>
        <w:rPr>
          <w:b/>
        </w:rPr>
      </w:pPr>
      <w:r>
        <w:rPr>
          <w:b/>
        </w:rPr>
        <w:t>II</w:t>
      </w:r>
      <w:r>
        <w:t xml:space="preserve"> </w:t>
      </w:r>
      <w:r>
        <w:rPr>
          <w:b/>
        </w:rPr>
        <w:t>nodaļa</w:t>
      </w:r>
      <w:r>
        <w:br/>
      </w:r>
      <w:r>
        <w:rPr>
          <w:b/>
        </w:rPr>
        <w:t xml:space="preserve">Galvenās </w:t>
      </w:r>
      <w:proofErr w:type="spellStart"/>
      <w:r>
        <w:rPr>
          <w:b/>
        </w:rPr>
        <w:t>mātessabiedrības</w:t>
      </w:r>
      <w:proofErr w:type="spellEnd"/>
      <w:r>
        <w:rPr>
          <w:b/>
        </w:rPr>
        <w:t xml:space="preserve"> un atsevišķas komercsabiedrības pienākums sagatavot, iesniegt un publiskot pārskatu par ienākuma nodokļiem, uz tām attiecināmie nosacījumi, kritēriji, atbrīvojumi un piemērošanas izņēmumi</w:t>
      </w:r>
    </w:p>
    <w:p w:rsidR="00EB231A" w:rsidRDefault="006B7D36">
      <w:pPr>
        <w:pStyle w:val="paragraph"/>
        <w:contextualSpacing w:val="0"/>
      </w:pPr>
      <w:r>
        <w:rPr>
          <w:b/>
        </w:rPr>
        <w:t>4.</w:t>
      </w:r>
      <w:r>
        <w:t xml:space="preserve"> </w:t>
      </w:r>
      <w:r>
        <w:rPr>
          <w:b/>
        </w:rPr>
        <w:t xml:space="preserve">pants. Galvenās </w:t>
      </w:r>
      <w:proofErr w:type="spellStart"/>
      <w:r>
        <w:rPr>
          <w:b/>
        </w:rPr>
        <w:t>mātessabiedrības</w:t>
      </w:r>
      <w:proofErr w:type="spellEnd"/>
      <w:r>
        <w:rPr>
          <w:b/>
        </w:rPr>
        <w:t xml:space="preserve"> pienākums sagatavot, iesniegt un publiskot pieejamu pārskatu par ienākuma nodokļiem</w:t>
      </w:r>
      <w:r>
        <w:br/>
      </w:r>
      <w:r>
        <w:rPr>
          <w:b/>
        </w:rPr>
        <w:t> </w:t>
      </w:r>
    </w:p>
    <w:p w:rsidR="00EB231A" w:rsidRDefault="006B7D36">
      <w:pPr>
        <w:numPr>
          <w:ilvl w:val="0"/>
          <w:numId w:val="4"/>
        </w:numPr>
        <w:ind w:firstLine="706"/>
      </w:pPr>
      <w:r>
        <w:t xml:space="preserve">(1) Galvenajai </w:t>
      </w:r>
      <w:proofErr w:type="spellStart"/>
      <w:r>
        <w:t>mātessabiedrībai</w:t>
      </w:r>
      <w:proofErr w:type="spellEnd"/>
      <w:r>
        <w:t xml:space="preserve"> ir pienākums šajā likumā noteiktajā kārtībā sagatavot, iesniegt un publiskot pārskatu par ienākuma nodokļiem attiecībā uz pēdējo no divie</w:t>
      </w:r>
      <w:r>
        <w:t xml:space="preserve">m pēdējiem pārskata gadiem (kārtējo pārskata gadu), ja saskaņā ar konsolidētā finanšu pārskata datiem attiecīgā koncerna (grupas) konsolidētie ieņēmumi divus pārskata gadus pēc kārtas (gan kārtējā, gan iepriekšējā pārskata gadā) galvenās </w:t>
      </w:r>
      <w:proofErr w:type="spellStart"/>
      <w:r>
        <w:t>mātessabiedrības</w:t>
      </w:r>
      <w:proofErr w:type="spellEnd"/>
      <w:r>
        <w:t xml:space="preserve"> b</w:t>
      </w:r>
      <w:r>
        <w:t xml:space="preserve">ilances datumā pārsniedz 750 000 000 </w:t>
      </w:r>
      <w:proofErr w:type="spellStart"/>
      <w:r>
        <w:rPr>
          <w:i/>
        </w:rPr>
        <w:t>euro</w:t>
      </w:r>
      <w:proofErr w:type="spellEnd"/>
      <w:r>
        <w:t>.</w:t>
      </w:r>
    </w:p>
    <w:p w:rsidR="00EB231A" w:rsidRDefault="006B7D36">
      <w:pPr>
        <w:numPr>
          <w:ilvl w:val="0"/>
          <w:numId w:val="4"/>
        </w:numPr>
        <w:ind w:firstLine="706"/>
      </w:pPr>
      <w:r>
        <w:t xml:space="preserve">(2) Uz galveno </w:t>
      </w:r>
      <w:proofErr w:type="spellStart"/>
      <w:r>
        <w:t>mātessabiedrību</w:t>
      </w:r>
      <w:proofErr w:type="spellEnd"/>
      <w:r>
        <w:t xml:space="preserve"> turpmāk vairs neattiecas šā panta pirmajā daļā noteiktie pienākumi, ja saskaņā ar konsolidētā finanšu pārskata datiem attiecīgā koncerna (grupas) konsolidēto ieņēmumu kopsumma katrā </w:t>
      </w:r>
      <w:r>
        <w:t xml:space="preserve">no diviem pēdējiem pārskata gadiem (gan kārtējā, gan iepriekšējā pārskata gadā) galvenās </w:t>
      </w:r>
      <w:proofErr w:type="spellStart"/>
      <w:r>
        <w:t>mātessabiedrības</w:t>
      </w:r>
      <w:proofErr w:type="spellEnd"/>
      <w:r>
        <w:t xml:space="preserve"> bilances datumā vairs nepārsniedz šā panta pirmajā daļā noteikto kritēriju - 750 000 000 </w:t>
      </w:r>
      <w:proofErr w:type="spellStart"/>
      <w:r>
        <w:rPr>
          <w:i/>
        </w:rPr>
        <w:t>euro</w:t>
      </w:r>
      <w:proofErr w:type="spellEnd"/>
      <w:r>
        <w:t>.</w:t>
      </w:r>
    </w:p>
    <w:p w:rsidR="00EB231A" w:rsidRDefault="006B7D36">
      <w:pPr>
        <w:pStyle w:val="paragraph"/>
        <w:contextualSpacing w:val="0"/>
      </w:pPr>
      <w:r>
        <w:rPr>
          <w:b/>
        </w:rPr>
        <w:t>5.</w:t>
      </w:r>
      <w:r>
        <w:t xml:space="preserve"> </w:t>
      </w:r>
      <w:r>
        <w:rPr>
          <w:b/>
        </w:rPr>
        <w:t>pants. Atsevišķas komercsabiedrības pienākums sagata</w:t>
      </w:r>
      <w:r>
        <w:rPr>
          <w:b/>
        </w:rPr>
        <w:t>vot, iesniegt un publiskot pārskatu par ienākuma nodokļiem</w:t>
      </w:r>
    </w:p>
    <w:p w:rsidR="00EB231A" w:rsidRDefault="006B7D36">
      <w:pPr>
        <w:numPr>
          <w:ilvl w:val="0"/>
          <w:numId w:val="5"/>
        </w:numPr>
        <w:ind w:firstLine="706"/>
      </w:pPr>
      <w:r>
        <w:t xml:space="preserve">(1) Atsevišķai komercsabiedrībai ir pienākums šajā likumā noteiktajā kārtībā sagatavot, iesniegt un publiskot pārskatu par ienākuma nodokļiem attiecībā uz pēdējo no diviem pēdējiem pārskata gadiem </w:t>
      </w:r>
      <w:r>
        <w:t xml:space="preserve">(kārtējo pārskata gadu), ja saskaņā ar finanšu pārskata datiem tās ieņēmumi divus pārskata gadus pēc kārtas (gan kārtējā, gan iepriekšējā pārskata gadā) bilances datumā pārsniedz 750 000 000 </w:t>
      </w:r>
      <w:proofErr w:type="spellStart"/>
      <w:r>
        <w:rPr>
          <w:i/>
        </w:rPr>
        <w:t>euro</w:t>
      </w:r>
      <w:proofErr w:type="spellEnd"/>
      <w:r>
        <w:t>.</w:t>
      </w:r>
    </w:p>
    <w:p w:rsidR="00EB231A" w:rsidRDefault="006B7D36">
      <w:pPr>
        <w:numPr>
          <w:ilvl w:val="0"/>
          <w:numId w:val="5"/>
        </w:numPr>
        <w:ind w:firstLine="706"/>
      </w:pPr>
      <w:r>
        <w:t xml:space="preserve">(2) Uz atsevišķo komercsabiedrību turpmāk vairs neattiecas </w:t>
      </w:r>
      <w:r>
        <w:t>šā panta pirmajā daļā noteiktie pienākumi, ja saskaņā ar finanšu pārskata datiem tās ieņēmumu kopsumma katrā no diviem pēdējiem pārskata gadiem (gan kārtējā, gan iepriekšējā pārskata gadā) bilances datumā vairs nepārsniedz šā panta pirmajā daļā noteikto kr</w:t>
      </w:r>
      <w:r>
        <w:t xml:space="preserve">itēriju - 750 000 000 </w:t>
      </w:r>
      <w:proofErr w:type="spellStart"/>
      <w:r>
        <w:rPr>
          <w:i/>
        </w:rPr>
        <w:t>euro</w:t>
      </w:r>
      <w:proofErr w:type="spellEnd"/>
      <w:r>
        <w:t>.</w:t>
      </w:r>
    </w:p>
    <w:p w:rsidR="00EB231A" w:rsidRDefault="006B7D36">
      <w:pPr>
        <w:pStyle w:val="paragraph"/>
        <w:contextualSpacing w:val="0"/>
      </w:pPr>
      <w:r>
        <w:rPr>
          <w:b/>
        </w:rPr>
        <w:t>6.</w:t>
      </w:r>
      <w:r>
        <w:t xml:space="preserve"> </w:t>
      </w:r>
      <w:r>
        <w:rPr>
          <w:b/>
        </w:rPr>
        <w:t xml:space="preserve">pants. Atbrīvojums galvenajai </w:t>
      </w:r>
      <w:proofErr w:type="spellStart"/>
      <w:r>
        <w:rPr>
          <w:b/>
        </w:rPr>
        <w:t>mātessabiedrībai</w:t>
      </w:r>
      <w:proofErr w:type="spellEnd"/>
      <w:r>
        <w:rPr>
          <w:b/>
        </w:rPr>
        <w:t xml:space="preserve"> no pienākuma sagatavot, publiskot un darīt publiski pieejamu pārskatu par ienākuma nodokļiem</w:t>
      </w:r>
    </w:p>
    <w:p w:rsidR="00EB231A" w:rsidRDefault="006B7D36">
      <w:pPr>
        <w:numPr>
          <w:ilvl w:val="0"/>
          <w:numId w:val="6"/>
        </w:numPr>
        <w:ind w:firstLine="706"/>
      </w:pPr>
      <w:r>
        <w:t xml:space="preserve">Galvenā </w:t>
      </w:r>
      <w:proofErr w:type="spellStart"/>
      <w:r>
        <w:t>mātessabiedrība</w:t>
      </w:r>
      <w:proofErr w:type="spellEnd"/>
      <w:r>
        <w:t xml:space="preserve"> ir atbrīvota no pienākuma sagatavot, iesniegt un publiskot pā</w:t>
      </w:r>
      <w:r>
        <w:t xml:space="preserve">rskatu par ienākuma nodokļiem, ja tās saimnieciskās darbības vieta un visu tās </w:t>
      </w:r>
      <w:proofErr w:type="spellStart"/>
      <w:r>
        <w:t>meitassabiedrību</w:t>
      </w:r>
      <w:proofErr w:type="spellEnd"/>
      <w:r>
        <w:t xml:space="preserve"> saimnieciskās darbības vieta, kā arī visu minēto radniecīgo sabiedrību filiāļu saimnieciskās darbības vieta ir tikai Latvijas Republikas teritorija un neviena c</w:t>
      </w:r>
      <w:r>
        <w:t>ita nodokļu jurisdikcija.</w:t>
      </w:r>
    </w:p>
    <w:p w:rsidR="00EB231A" w:rsidRDefault="006B7D36">
      <w:pPr>
        <w:numPr>
          <w:ilvl w:val="0"/>
          <w:numId w:val="6"/>
        </w:numPr>
        <w:ind w:firstLine="0"/>
      </w:pPr>
      <w:r>
        <w:t> </w:t>
      </w:r>
    </w:p>
    <w:p w:rsidR="00EB231A" w:rsidRDefault="006B7D36">
      <w:pPr>
        <w:pStyle w:val="paragraph"/>
        <w:contextualSpacing w:val="0"/>
      </w:pPr>
      <w:r>
        <w:rPr>
          <w:b/>
        </w:rPr>
        <w:t>7.</w:t>
      </w:r>
      <w:r>
        <w:t xml:space="preserve"> </w:t>
      </w:r>
      <w:r>
        <w:rPr>
          <w:b/>
        </w:rPr>
        <w:t>pants. Atbrīvojums atsevišķai komercsabiedrībai no pienākuma sagatavot, iesniegt un publiskot pārskatu par ienākuma nodokļiem</w:t>
      </w:r>
    </w:p>
    <w:p w:rsidR="00EB231A" w:rsidRDefault="006B7D36">
      <w:pPr>
        <w:numPr>
          <w:ilvl w:val="0"/>
          <w:numId w:val="7"/>
        </w:numPr>
        <w:ind w:firstLine="706"/>
      </w:pPr>
      <w:r>
        <w:t xml:space="preserve">Atsevišķā komercsabiedrība ir atbrīvota no pienākuma sagatavot, iesniegt un publiskot pārskatu par </w:t>
      </w:r>
      <w:r>
        <w:t>ienākuma nodokļiem, ja tās saimnieciskās darbības vieta, kā arī visu tās filiāļu saimnieciskās darbības vieta ir tikai Latvijas Republikas teritorija un neviena cita nodokļu jurisdikcija.</w:t>
      </w:r>
    </w:p>
    <w:p w:rsidR="00EB231A" w:rsidRDefault="006B7D36">
      <w:pPr>
        <w:pStyle w:val="paragraph"/>
        <w:contextualSpacing w:val="0"/>
      </w:pPr>
      <w:r>
        <w:rPr>
          <w:b/>
        </w:rPr>
        <w:t>8.</w:t>
      </w:r>
      <w:r>
        <w:t xml:space="preserve"> </w:t>
      </w:r>
      <w:r>
        <w:rPr>
          <w:b/>
        </w:rPr>
        <w:t>pants. Likuma piemērošanas izņēmumi</w:t>
      </w:r>
    </w:p>
    <w:p w:rsidR="00EB231A" w:rsidRDefault="006B7D36">
      <w:pPr>
        <w:numPr>
          <w:ilvl w:val="0"/>
          <w:numId w:val="8"/>
        </w:numPr>
        <w:ind w:firstLine="706"/>
      </w:pPr>
      <w:r>
        <w:t>Šā likuma 4. panta pirmo daļu un 5. panta pirmo daļu attiecībā uz pienākumu sagatavot, iesniegt un publiskot pārskatu par ienākuma nodokļiem nepiemēro:</w:t>
      </w:r>
    </w:p>
    <w:p w:rsidR="00EB231A" w:rsidRDefault="006B7D36">
      <w:pPr>
        <w:numPr>
          <w:ilvl w:val="0"/>
          <w:numId w:val="8"/>
        </w:numPr>
        <w:ind w:firstLine="0"/>
      </w:pPr>
      <w:r>
        <w:t xml:space="preserve">1) galvenajai </w:t>
      </w:r>
      <w:proofErr w:type="spellStart"/>
      <w:r>
        <w:t>mātessabiedrībai</w:t>
      </w:r>
      <w:proofErr w:type="spellEnd"/>
      <w:r>
        <w:t xml:space="preserve">, kura ir kredītiestāde vai ieguldījumu brokeru sabiedrība, ja šī galvenā </w:t>
      </w:r>
      <w:proofErr w:type="spellStart"/>
      <w:r>
        <w:t>mātessabiedrība</w:t>
      </w:r>
      <w:proofErr w:type="spellEnd"/>
      <w:r>
        <w:t xml:space="preserve"> vai tās radniecīgā sabiedrība ietver konsolidētajā finanšu pārskatā apkopotu informāciju par attiecīgā koncerna (grupas) visām saimnieciskajām darbībām sadalījumā par katru Eiropas Savienības dalībvalsti un par katru trešo valsti un to publ</w:t>
      </w:r>
      <w:r>
        <w:t>isko, ievērojot kārtību, kāda noteikta minēto finanšu tirgus dalībnieku darbību reglamentējošajos likumos un saskaņā ar tiem izdotajos gada pārskata un konsolidētā gada pārskata sagatavošanas normatīvajos noteikumos;</w:t>
      </w:r>
    </w:p>
    <w:p w:rsidR="00EB231A" w:rsidRDefault="006B7D36">
      <w:pPr>
        <w:numPr>
          <w:ilvl w:val="0"/>
          <w:numId w:val="8"/>
        </w:numPr>
        <w:ind w:firstLine="0"/>
      </w:pPr>
      <w:r>
        <w:t xml:space="preserve">2)  atsevišķai komercsabiedrībai, kura </w:t>
      </w:r>
      <w:r>
        <w:t>ir kredītiestāde vai ieguldījumu brokeru sabiedrība, ja šī atsevišķā komercsabiedrība ietver gada pārskatā apkopotu informāciju par visām savām saimnieciskajām darbībām sadalījumā par katru Eiropas Savienības dalībvalsti un par katru trešo valsti un to pub</w:t>
      </w:r>
      <w:r>
        <w:t>lisko, ievērojot kārtību, kāda noteikta minēto finanšu tirgus dalībnieku darbību reglamentējošajos likumos un saskaņā ar tiem izdotajos gada pārskata un konsolidētā gada pārskata sagatavošanas normatīvajos noteikumos.</w:t>
      </w:r>
    </w:p>
    <w:p w:rsidR="00EB231A" w:rsidRDefault="006B7D36">
      <w:pPr>
        <w:pStyle w:val="paragraphheader"/>
        <w:contextualSpacing w:val="0"/>
        <w:jc w:val="center"/>
        <w:rPr>
          <w:b/>
        </w:rPr>
      </w:pPr>
      <w:r>
        <w:rPr>
          <w:b/>
        </w:rPr>
        <w:t>III</w:t>
      </w:r>
      <w:r>
        <w:t xml:space="preserve"> </w:t>
      </w:r>
      <w:r>
        <w:rPr>
          <w:b/>
        </w:rPr>
        <w:t>nodaļa</w:t>
      </w:r>
      <w:r>
        <w:br/>
      </w:r>
      <w:proofErr w:type="spellStart"/>
      <w:r>
        <w:rPr>
          <w:b/>
        </w:rPr>
        <w:t>Meitassabiedrības</w:t>
      </w:r>
      <w:proofErr w:type="spellEnd"/>
      <w:r>
        <w:rPr>
          <w:b/>
        </w:rPr>
        <w:t xml:space="preserve"> un filiāl</w:t>
      </w:r>
      <w:r>
        <w:rPr>
          <w:b/>
        </w:rPr>
        <w:t>es pienākumi attiecībā uz pārskatu par ienākuma nodokļiem, uz tām attiecināmie nosacījumi, kritēriji un atbrīvojumi</w:t>
      </w:r>
    </w:p>
    <w:p w:rsidR="00EB231A" w:rsidRDefault="006B7D36">
      <w:pPr>
        <w:pStyle w:val="paragraph"/>
        <w:contextualSpacing w:val="0"/>
      </w:pPr>
      <w:r>
        <w:rPr>
          <w:b/>
        </w:rPr>
        <w:t>9.</w:t>
      </w:r>
      <w:r>
        <w:t xml:space="preserve"> </w:t>
      </w:r>
      <w:r>
        <w:rPr>
          <w:b/>
        </w:rPr>
        <w:t xml:space="preserve">pants. </w:t>
      </w:r>
      <w:proofErr w:type="spellStart"/>
      <w:r>
        <w:rPr>
          <w:b/>
        </w:rPr>
        <w:t>Meitassabiedrības</w:t>
      </w:r>
      <w:proofErr w:type="spellEnd"/>
      <w:r>
        <w:rPr>
          <w:b/>
        </w:rPr>
        <w:t xml:space="preserve">  pienākums iesniegt un publiskot starptautiskā koncerna (grupas), kuras radniecīgā sabiedrība tā ir, galvenās </w:t>
      </w:r>
      <w:proofErr w:type="spellStart"/>
      <w:r>
        <w:rPr>
          <w:b/>
        </w:rPr>
        <w:t>mā</w:t>
      </w:r>
      <w:r>
        <w:rPr>
          <w:b/>
        </w:rPr>
        <w:t>tessabiedrības</w:t>
      </w:r>
      <w:proofErr w:type="spellEnd"/>
      <w:r>
        <w:rPr>
          <w:b/>
        </w:rPr>
        <w:t xml:space="preserve"> pārskatu par ienākuma nodokļiem</w:t>
      </w:r>
    </w:p>
    <w:p w:rsidR="00EB231A" w:rsidRDefault="006B7D36">
      <w:pPr>
        <w:numPr>
          <w:ilvl w:val="0"/>
          <w:numId w:val="9"/>
        </w:numPr>
        <w:ind w:firstLine="706"/>
      </w:pPr>
      <w:proofErr w:type="spellStart"/>
      <w:r>
        <w:t>Meitassabiedrībai</w:t>
      </w:r>
      <w:proofErr w:type="spellEnd"/>
      <w:r>
        <w:t>, kura saskaņā ar Gada pārskatu un konsolidēto gada pārskatu likuma 5.panta ceturto un piekto daļu ir vidēja vai liela sabiedrība, ir pienākums šajā likumā noteiktajā kārtībā iesniegt un publi</w:t>
      </w:r>
      <w:r>
        <w:t xml:space="preserve">skot starptautiskā koncerna (grupas), kuras radniecīgā sabiedrība tā ir, galvenās </w:t>
      </w:r>
      <w:proofErr w:type="spellStart"/>
      <w:r>
        <w:t>mātessabiedrības</w:t>
      </w:r>
      <w:proofErr w:type="spellEnd"/>
      <w:r>
        <w:t xml:space="preserve"> sagatavoto pārskatu par ienākuma nodokļiem attiecībā uz pēdējo no diviem pēdējiem pārskata gadiem (kārtējo pārskata gadu), ja minētā galvenā </w:t>
      </w:r>
      <w:proofErr w:type="spellStart"/>
      <w:r>
        <w:t>mātessabiedrība</w:t>
      </w:r>
      <w:proofErr w:type="spellEnd"/>
      <w:r>
        <w:t xml:space="preserve"> </w:t>
      </w:r>
      <w:r>
        <w:t xml:space="preserve">nav Latvijas Republikā reģistrēta komercsabiedrība un saskaņā ar tās sagatavotā konsolidētā finanšu pārskata datiem koncerna (grupas) konsolidētie ieņēmumi divus pārskata gadus pēc kārtas (gan kārtējā, gan iepriekšējā pārskata gadā) šīs galvenās </w:t>
      </w:r>
      <w:proofErr w:type="spellStart"/>
      <w:r>
        <w:t>mātessabie</w:t>
      </w:r>
      <w:r>
        <w:t>drības</w:t>
      </w:r>
      <w:proofErr w:type="spellEnd"/>
      <w:r>
        <w:t xml:space="preserve"> bilances datumā pārsniedz 750 000 000 </w:t>
      </w:r>
      <w:proofErr w:type="spellStart"/>
      <w:r>
        <w:rPr>
          <w:i/>
        </w:rPr>
        <w:t>euro</w:t>
      </w:r>
      <w:proofErr w:type="spellEnd"/>
      <w:r>
        <w:t>.</w:t>
      </w:r>
    </w:p>
    <w:p w:rsidR="00EB231A" w:rsidRDefault="006B7D36">
      <w:pPr>
        <w:numPr>
          <w:ilvl w:val="0"/>
          <w:numId w:val="9"/>
        </w:numPr>
        <w:ind w:firstLine="0"/>
      </w:pPr>
      <w:r>
        <w:t> </w:t>
      </w:r>
    </w:p>
    <w:p w:rsidR="00EB231A" w:rsidRDefault="006B7D36">
      <w:pPr>
        <w:pStyle w:val="paragraph"/>
        <w:contextualSpacing w:val="0"/>
      </w:pPr>
      <w:r>
        <w:rPr>
          <w:b/>
        </w:rPr>
        <w:t>10.</w:t>
      </w:r>
      <w:r>
        <w:t xml:space="preserve"> </w:t>
      </w:r>
      <w:r>
        <w:rPr>
          <w:b/>
        </w:rPr>
        <w:t xml:space="preserve">pants. </w:t>
      </w:r>
      <w:proofErr w:type="spellStart"/>
      <w:r>
        <w:rPr>
          <w:b/>
        </w:rPr>
        <w:t>Meitassabiedrības</w:t>
      </w:r>
      <w:proofErr w:type="spellEnd"/>
      <w:r>
        <w:rPr>
          <w:b/>
        </w:rPr>
        <w:t>  pienākums pieprasīt informāciju un sagatavot, iesniegt un publiskot pārskatu par ienākuma nodokļiem</w:t>
      </w:r>
    </w:p>
    <w:p w:rsidR="00EB231A" w:rsidRDefault="006B7D36">
      <w:pPr>
        <w:numPr>
          <w:ilvl w:val="0"/>
          <w:numId w:val="10"/>
        </w:numPr>
        <w:ind w:firstLine="706"/>
      </w:pPr>
      <w:r>
        <w:t xml:space="preserve">(1) Ja šā likuma 9.pantā minētajai </w:t>
      </w:r>
      <w:proofErr w:type="spellStart"/>
      <w:r>
        <w:t>meitassabiedrībai</w:t>
      </w:r>
      <w:proofErr w:type="spellEnd"/>
      <w:r>
        <w:t xml:space="preserve"> nav pieejama informā</w:t>
      </w:r>
      <w:r>
        <w:t xml:space="preserve">cija par starptautiskā koncerna (grupas), kuras radniecīgā sabiedrība tā ir, galvenās </w:t>
      </w:r>
      <w:proofErr w:type="spellStart"/>
      <w:r>
        <w:t>mātessabiedrības</w:t>
      </w:r>
      <w:proofErr w:type="spellEnd"/>
      <w:r>
        <w:t xml:space="preserve"> ieņēmumiem, ienākuma nodokļiem un saimniecisko darbību sadalījumā pa nodokļu vajadzībām izvēlētajām rezidences valstīm vai teritorijām vai tās sagatavota</w:t>
      </w:r>
      <w:r>
        <w:t xml:space="preserve">is pārskats par ienākuma nodokļiem, šī </w:t>
      </w:r>
      <w:proofErr w:type="spellStart"/>
      <w:r>
        <w:t>meitassabiedrība</w:t>
      </w:r>
      <w:proofErr w:type="spellEnd"/>
      <w:r>
        <w:t xml:space="preserve"> pieprasa, lai minētā galvenā </w:t>
      </w:r>
      <w:proofErr w:type="spellStart"/>
      <w:r>
        <w:t>mātessabiedrība</w:t>
      </w:r>
      <w:proofErr w:type="spellEnd"/>
      <w:r>
        <w:t xml:space="preserve"> sniedz tai visu informāciju, kas nepieciešama pārskata par ienākuma nodokļiem sagatavošanai, lai būtu iespējams izpildīt tai šajā likumā noteiktos pienākum</w:t>
      </w:r>
      <w:r>
        <w:t>us.</w:t>
      </w:r>
    </w:p>
    <w:p w:rsidR="00EB231A" w:rsidRDefault="006B7D36">
      <w:pPr>
        <w:numPr>
          <w:ilvl w:val="0"/>
          <w:numId w:val="10"/>
        </w:numPr>
        <w:ind w:firstLine="0"/>
      </w:pPr>
      <w:r>
        <w:t> </w:t>
      </w:r>
    </w:p>
    <w:p w:rsidR="00EB231A" w:rsidRDefault="006B7D36">
      <w:pPr>
        <w:numPr>
          <w:ilvl w:val="0"/>
          <w:numId w:val="10"/>
        </w:numPr>
        <w:ind w:firstLine="706"/>
      </w:pPr>
      <w:r>
        <w:t xml:space="preserve">(2) Ja šā panta pirmajā daļā minētā galvenā </w:t>
      </w:r>
      <w:proofErr w:type="spellStart"/>
      <w:r>
        <w:t>mātessabiedrība</w:t>
      </w:r>
      <w:proofErr w:type="spellEnd"/>
      <w:r>
        <w:t xml:space="preserve"> nesniedz savai </w:t>
      </w:r>
      <w:proofErr w:type="spellStart"/>
      <w:r>
        <w:t>meitassabiedrībai</w:t>
      </w:r>
      <w:proofErr w:type="spellEnd"/>
      <w:r>
        <w:t xml:space="preserve"> visu pieprasīto informāciju, kas nepieciešama pārskata par ienākuma nodokļiem sagatavošanai, tad </w:t>
      </w:r>
      <w:proofErr w:type="spellStart"/>
      <w:r>
        <w:t>meitassabiedrība</w:t>
      </w:r>
      <w:proofErr w:type="spellEnd"/>
      <w:r>
        <w:t xml:space="preserve"> sagatavo, iesniedz un publisko tādu pārskat</w:t>
      </w:r>
      <w:r>
        <w:t xml:space="preserve">u par ienākuma nodokļiem, kurā ietverta visa tās rīcībā esošā, iegūtā vai saņemtā informācija. Papildus tam meitas sabiedrība sagatavo, iesniedz un publisko paziņojumu, kurā norāda, ka minētā galvenā </w:t>
      </w:r>
      <w:proofErr w:type="spellStart"/>
      <w:r>
        <w:t>mātessabiedrība</w:t>
      </w:r>
      <w:proofErr w:type="spellEnd"/>
      <w:r>
        <w:t xml:space="preserve"> nav darījusi pieejamu visu informāciju, </w:t>
      </w:r>
      <w:r>
        <w:t xml:space="preserve">kas nepieciešama pārskata par ienākuma nodokļiem sagatavošanai (turpmāk – </w:t>
      </w:r>
      <w:proofErr w:type="spellStart"/>
      <w:r>
        <w:t>meitassabiedrības</w:t>
      </w:r>
      <w:proofErr w:type="spellEnd"/>
      <w:r>
        <w:t xml:space="preserve"> paziņojums).</w:t>
      </w:r>
    </w:p>
    <w:p w:rsidR="00EB231A" w:rsidRDefault="006B7D36">
      <w:pPr>
        <w:numPr>
          <w:ilvl w:val="0"/>
          <w:numId w:val="10"/>
        </w:numPr>
        <w:ind w:firstLine="0"/>
      </w:pPr>
      <w:r>
        <w:t> </w:t>
      </w:r>
    </w:p>
    <w:p w:rsidR="00EB231A" w:rsidRDefault="006B7D36">
      <w:pPr>
        <w:pStyle w:val="paragraph"/>
        <w:contextualSpacing w:val="0"/>
      </w:pPr>
      <w:r>
        <w:rPr>
          <w:b/>
        </w:rPr>
        <w:t>11.</w:t>
      </w:r>
      <w:r>
        <w:t xml:space="preserve"> </w:t>
      </w:r>
      <w:r>
        <w:rPr>
          <w:b/>
        </w:rPr>
        <w:t xml:space="preserve">pants. Atbrīvojums </w:t>
      </w:r>
      <w:proofErr w:type="spellStart"/>
      <w:r>
        <w:rPr>
          <w:b/>
        </w:rPr>
        <w:t>meitassabiedrībai</w:t>
      </w:r>
      <w:proofErr w:type="spellEnd"/>
      <w:r>
        <w:rPr>
          <w:b/>
        </w:rPr>
        <w:t xml:space="preserve"> no pienākumiem attiecībā uz starptautiskā koncerna (grupas), kuras radniecīgā sabiedrība tā ir, galvenās </w:t>
      </w:r>
      <w:proofErr w:type="spellStart"/>
      <w:r>
        <w:rPr>
          <w:b/>
        </w:rPr>
        <w:t>māt</w:t>
      </w:r>
      <w:r>
        <w:rPr>
          <w:b/>
        </w:rPr>
        <w:t>essabiedrības</w:t>
      </w:r>
      <w:proofErr w:type="spellEnd"/>
      <w:r>
        <w:rPr>
          <w:b/>
        </w:rPr>
        <w:t xml:space="preserve"> pārskata par ienākuma nodokļiem iesniegšanu un publiskošanu</w:t>
      </w:r>
    </w:p>
    <w:p w:rsidR="00EB231A" w:rsidRDefault="006B7D36">
      <w:pPr>
        <w:numPr>
          <w:ilvl w:val="0"/>
          <w:numId w:val="11"/>
        </w:numPr>
        <w:ind w:firstLine="706"/>
      </w:pPr>
      <w:r>
        <w:t xml:space="preserve">Uz </w:t>
      </w:r>
      <w:proofErr w:type="spellStart"/>
      <w:r>
        <w:t>meitassabiedrību</w:t>
      </w:r>
      <w:proofErr w:type="spellEnd"/>
      <w:r>
        <w:t xml:space="preserve"> turpmāk vairs neattiecas šā likuma 9. un 10.pantā noteiktie pienākumi attiecībā uz starptautiskā koncerna (grupas), kuras radniecīgā sabiedrība tā ir, galvenās </w:t>
      </w:r>
      <w:proofErr w:type="spellStart"/>
      <w:r>
        <w:t>mā</w:t>
      </w:r>
      <w:r>
        <w:t>tessabiedrības</w:t>
      </w:r>
      <w:proofErr w:type="spellEnd"/>
      <w:r>
        <w:t xml:space="preserve"> pārskata par ienākuma nodokļiem iesniegšanu un publiskošanu, ja saskaņā ar minētās galvenās </w:t>
      </w:r>
      <w:proofErr w:type="spellStart"/>
      <w:r>
        <w:t>mātessabiedrības</w:t>
      </w:r>
      <w:proofErr w:type="spellEnd"/>
      <w:r>
        <w:t xml:space="preserve"> sagatavotā konsolidētā finanšu pārskata datiem šī starptautiskā koncerna (grupas) konsolidēto ieņēmumu kopsumma divus pārskata gadus</w:t>
      </w:r>
      <w:r>
        <w:t xml:space="preserve"> pēc kārtas (gan kārtējā, gan iepriekšējā pārskata gadā) minētās galvenās </w:t>
      </w:r>
      <w:proofErr w:type="spellStart"/>
      <w:r>
        <w:t>mātessabiedrības</w:t>
      </w:r>
      <w:proofErr w:type="spellEnd"/>
      <w:r>
        <w:t xml:space="preserve"> bilances datumā vairs nepārsniedz 750 000 000 </w:t>
      </w:r>
      <w:proofErr w:type="spellStart"/>
      <w:r>
        <w:rPr>
          <w:i/>
        </w:rPr>
        <w:t>euro</w:t>
      </w:r>
      <w:proofErr w:type="spellEnd"/>
      <w:r>
        <w:t>.</w:t>
      </w:r>
    </w:p>
    <w:p w:rsidR="00EB231A" w:rsidRDefault="006B7D36">
      <w:pPr>
        <w:numPr>
          <w:ilvl w:val="0"/>
          <w:numId w:val="11"/>
        </w:numPr>
        <w:ind w:firstLine="0"/>
      </w:pPr>
      <w:r>
        <w:t> </w:t>
      </w:r>
    </w:p>
    <w:p w:rsidR="00EB231A" w:rsidRDefault="006B7D36">
      <w:pPr>
        <w:pStyle w:val="paragraph"/>
        <w:contextualSpacing w:val="0"/>
      </w:pPr>
      <w:r>
        <w:rPr>
          <w:b/>
        </w:rPr>
        <w:t>12.</w:t>
      </w:r>
      <w:r>
        <w:t xml:space="preserve"> </w:t>
      </w:r>
      <w:r>
        <w:rPr>
          <w:b/>
        </w:rPr>
        <w:t xml:space="preserve">pants. </w:t>
      </w:r>
      <w:r>
        <w:rPr>
          <w:b/>
        </w:rPr>
        <w:t xml:space="preserve">Filiāles pienākums iesniegt un publiskot atsevišķas komercsabiedrības vai starptautiskā koncerna (grupas), kuras radniecīgās sabiedrības filiāle tā ir, galvenās </w:t>
      </w:r>
      <w:proofErr w:type="spellStart"/>
      <w:r>
        <w:rPr>
          <w:b/>
        </w:rPr>
        <w:t>mātessabiedrības</w:t>
      </w:r>
      <w:proofErr w:type="spellEnd"/>
      <w:r>
        <w:rPr>
          <w:b/>
        </w:rPr>
        <w:t xml:space="preserve"> pārskatu par ienākuma nodokļiem un atbrīvojumi no šā pienākuma</w:t>
      </w:r>
    </w:p>
    <w:p w:rsidR="00EB231A" w:rsidRDefault="006B7D36">
      <w:pPr>
        <w:numPr>
          <w:ilvl w:val="0"/>
          <w:numId w:val="12"/>
        </w:numPr>
        <w:ind w:firstLine="706"/>
      </w:pPr>
      <w:r>
        <w:t>(1) Filiālei, u</w:t>
      </w:r>
      <w:r>
        <w:t>z kuru attiecas šā panta ceturtā un sestā daļa, ir pienākums šajā likumā noteiktajā kārtībā iesniegt un publiskot tās ārvalstī reģistrētās komercsabiedrības, kuras vārdā tā darbojas un kura ir starptautiska koncerna (grupas) radniecīgā sabiedrība, galvenās</w:t>
      </w:r>
      <w:r>
        <w:t xml:space="preserve"> </w:t>
      </w:r>
      <w:proofErr w:type="spellStart"/>
      <w:r>
        <w:t>mātessabiedrības</w:t>
      </w:r>
      <w:proofErr w:type="spellEnd"/>
      <w:r>
        <w:t xml:space="preserve"> pārskatu par ienākuma nodokļiem, bet gadījumā, ja filiāle darbojas ārvalstī reģistrētas atsevišķas komercsabiedrības vārdā - šīs atsevišķās komercsabiedrības pārskatu par ienākuma nodokļiem attiecībā uz pēdējo no diviem pēdējiem pārskata </w:t>
      </w:r>
      <w:r>
        <w:t>gadiem (kārtējo pārskata gadu).</w:t>
      </w:r>
    </w:p>
    <w:p w:rsidR="00EB231A" w:rsidRDefault="006B7D36">
      <w:pPr>
        <w:numPr>
          <w:ilvl w:val="0"/>
          <w:numId w:val="12"/>
        </w:numPr>
        <w:ind w:firstLine="706"/>
      </w:pPr>
      <w:r>
        <w:t xml:space="preserve">(2) Ja filiālei, uz kuru attiecas šā panta ceturtā un sestā daļa, nav pieejama informācija par šā panta pirmajā daļā minētās galvenās </w:t>
      </w:r>
      <w:proofErr w:type="spellStart"/>
      <w:r>
        <w:t>mātessabiedrības</w:t>
      </w:r>
      <w:proofErr w:type="spellEnd"/>
      <w:r>
        <w:t xml:space="preserve"> vai atsevišķās komercsabiedrības ieņēmumiem, ienākuma nodokļiem un saimni</w:t>
      </w:r>
      <w:r>
        <w:t xml:space="preserve">ecisko darbību sadalījumā pa nodokļu vajadzībām izvēlētajām rezidences valstīm vai teritorijām vai tās sagatavotais pārskats par ienākuma nodokļiem, persona vai personas, kuras pilnvarotas pārstāvēt attiecīgo dalībvalsts vai trešās valsts komercsabiedrību </w:t>
      </w:r>
      <w:r>
        <w:t xml:space="preserve">darbībās, kas saistītas ar filiāli, pieprasa, lai minētā galvenā </w:t>
      </w:r>
      <w:proofErr w:type="spellStart"/>
      <w:r>
        <w:t>mātessabiedrība</w:t>
      </w:r>
      <w:proofErr w:type="spellEnd"/>
      <w:r>
        <w:t xml:space="preserve"> vai atsevišķā komercsabiedrība sniedz visu informāciju, kas nepieciešama pārskata par ienākuma nodokļiem sagatavošanai, lai šai personai vai personām būtu iespējams izpildīt t</w:t>
      </w:r>
      <w:r>
        <w:t>ām šajā likumā noteiktos pienākumus.</w:t>
      </w:r>
    </w:p>
    <w:p w:rsidR="00EB231A" w:rsidRDefault="006B7D36">
      <w:pPr>
        <w:numPr>
          <w:ilvl w:val="0"/>
          <w:numId w:val="12"/>
        </w:numPr>
        <w:ind w:firstLine="706"/>
      </w:pPr>
      <w:r>
        <w:t xml:space="preserve">(3) Ja šajā pantā minētā galvenā </w:t>
      </w:r>
      <w:proofErr w:type="spellStart"/>
      <w:r>
        <w:t>mātessabiedrība</w:t>
      </w:r>
      <w:proofErr w:type="spellEnd"/>
      <w:r>
        <w:t xml:space="preserve"> vai atsevišķā komercsabiedrība nesniedz filiālei visu pieprasīto informāciju, kas nepieciešama pārskata par ienākuma nodokļiem sagatavošanai, filiāle sagatavo, iesniedz p</w:t>
      </w:r>
      <w:r>
        <w:t xml:space="preserve">ublisko tādu pārskatu par ienākuma nodokļiem, kurā ietverta visa tās rīcībā esošā, iegūtā vai saņemtā informācija. Papildus tam filiāle sagatavo, iesniedz un publisko paziņojumu, kurā norādīts, ka galvenā </w:t>
      </w:r>
      <w:proofErr w:type="spellStart"/>
      <w:r>
        <w:t>mātessabiedrība</w:t>
      </w:r>
      <w:proofErr w:type="spellEnd"/>
      <w:r>
        <w:t xml:space="preserve"> vai atsevišķā komercsabiedrība fili</w:t>
      </w:r>
      <w:r>
        <w:t>ālei nav darījusi pieejamu visu informāciju, kas nepieciešama pārskata par ienākuma nodokļiem sagatavošanai (turpmāk – filiāles paziņojums).</w:t>
      </w:r>
    </w:p>
    <w:p w:rsidR="00EB231A" w:rsidRDefault="006B7D36">
      <w:pPr>
        <w:numPr>
          <w:ilvl w:val="0"/>
          <w:numId w:val="12"/>
        </w:numPr>
        <w:ind w:firstLine="706"/>
      </w:pPr>
      <w:r>
        <w:t xml:space="preserve">(4) </w:t>
      </w:r>
      <w:r>
        <w:t xml:space="preserve">Šajā pantā noteiktie pienākumi attiecas tikai uz tādu filiāli, kuras neto apgrozījums katrā no diviem pēdējiem pārskata gadiem (gan kārtējā, gan iepriekšējā pārskata gadā) pārsniedz 8 000 000 </w:t>
      </w:r>
      <w:proofErr w:type="spellStart"/>
      <w:r>
        <w:rPr>
          <w:i/>
        </w:rPr>
        <w:t>euro</w:t>
      </w:r>
      <w:proofErr w:type="spellEnd"/>
      <w:r>
        <w:t>.</w:t>
      </w:r>
    </w:p>
    <w:p w:rsidR="00EB231A" w:rsidRDefault="006B7D36">
      <w:pPr>
        <w:numPr>
          <w:ilvl w:val="0"/>
          <w:numId w:val="12"/>
        </w:numPr>
        <w:ind w:firstLine="706"/>
      </w:pPr>
      <w:r>
        <w:t>(5) Filiālei, uz kuru attiecas šajā pantā noteiktie pienāk</w:t>
      </w:r>
      <w:r>
        <w:t xml:space="preserve">umi, tie vairs nav saistoši, ja šīs filiāles neto apgrozījums katrā no diviem pēdējiem pārskata gadiem (gan kārtējā, gan iepriekšējā pārskata gadā) vairs nepārsniedz 8 000 000 </w:t>
      </w:r>
      <w:proofErr w:type="spellStart"/>
      <w:r>
        <w:rPr>
          <w:i/>
        </w:rPr>
        <w:t>euro</w:t>
      </w:r>
      <w:proofErr w:type="spellEnd"/>
      <w:r>
        <w:t>.</w:t>
      </w:r>
    </w:p>
    <w:p w:rsidR="00EB231A" w:rsidRDefault="006B7D36">
      <w:pPr>
        <w:numPr>
          <w:ilvl w:val="0"/>
          <w:numId w:val="12"/>
        </w:numPr>
        <w:ind w:firstLine="706"/>
      </w:pPr>
      <w:r>
        <w:t>(6) Šajā pantā noteiktie pienākumi attiecas uz filiāli tikai tad, ja pastā</w:t>
      </w:r>
      <w:r>
        <w:t>v šādi nosacījumi:</w:t>
      </w:r>
    </w:p>
    <w:p w:rsidR="00EB231A" w:rsidRDefault="006B7D36">
      <w:pPr>
        <w:numPr>
          <w:ilvl w:val="0"/>
          <w:numId w:val="12"/>
        </w:numPr>
        <w:ind w:firstLine="0"/>
      </w:pPr>
      <w:r>
        <w:t>1) komercsabiedrība, kura reģistrējusi filiāli Latvijas Republikā, ir:</w:t>
      </w:r>
    </w:p>
    <w:p w:rsidR="00EB231A" w:rsidRDefault="006B7D36">
      <w:pPr>
        <w:numPr>
          <w:ilvl w:val="0"/>
          <w:numId w:val="12"/>
        </w:numPr>
        <w:ind w:firstLine="0"/>
      </w:pPr>
      <w:r>
        <w:t xml:space="preserve">a) vai nu tāda starptautiskā koncerna (grupas) radniecīga sabiedrība, kuras galvenā </w:t>
      </w:r>
      <w:proofErr w:type="spellStart"/>
      <w:r>
        <w:t>mātessabiedrība</w:t>
      </w:r>
      <w:proofErr w:type="spellEnd"/>
      <w:r>
        <w:t xml:space="preserve"> nav Latvijas Republikā reģistrēta komercsabiedrība un saskaņā ar k</w:t>
      </w:r>
      <w:r>
        <w:t xml:space="preserve">onsolidētā finanšu pārskata datiem šī koncerna (grupas) konsolidētie ieņēmumi divus pārskata gadus pēc kārtas (gan kārtējā, gan iepriekšējā pārskata gadā) galvenās </w:t>
      </w:r>
      <w:proofErr w:type="spellStart"/>
      <w:r>
        <w:t>mātessabiedrības</w:t>
      </w:r>
      <w:proofErr w:type="spellEnd"/>
      <w:r>
        <w:t xml:space="preserve"> bilances datumā pārsniedz 750 000 000 </w:t>
      </w:r>
      <w:proofErr w:type="spellStart"/>
      <w:r>
        <w:rPr>
          <w:i/>
        </w:rPr>
        <w:t>euro</w:t>
      </w:r>
      <w:proofErr w:type="spellEnd"/>
      <w:r>
        <w:t>,</w:t>
      </w:r>
    </w:p>
    <w:p w:rsidR="00EB231A" w:rsidRDefault="006B7D36">
      <w:pPr>
        <w:numPr>
          <w:ilvl w:val="0"/>
          <w:numId w:val="12"/>
        </w:numPr>
        <w:ind w:firstLine="0"/>
      </w:pPr>
      <w:r>
        <w:t>b) vai atsevišķa komercsabiedrī</w:t>
      </w:r>
      <w:r>
        <w:t xml:space="preserve">ba, kas nav Latvijas Republikā reģistrēta komercsabiedrība un kurai saskaņā ar finanšu pārskata datiem ieņēmumi divus pārskata gadus pēc kārtas (gan kārtējā, gan iepriekšējā pārskata gadā) bilances datumā pārsniedz 750 000 000 </w:t>
      </w:r>
      <w:proofErr w:type="spellStart"/>
      <w:r>
        <w:rPr>
          <w:i/>
        </w:rPr>
        <w:t>euro</w:t>
      </w:r>
      <w:proofErr w:type="spellEnd"/>
      <w:r>
        <w:t>;</w:t>
      </w:r>
    </w:p>
    <w:p w:rsidR="00EB231A" w:rsidRDefault="006B7D36">
      <w:pPr>
        <w:numPr>
          <w:ilvl w:val="0"/>
          <w:numId w:val="12"/>
        </w:numPr>
        <w:ind w:firstLine="0"/>
      </w:pPr>
      <w:r>
        <w:t>2) šīs daļas 1.punkta "</w:t>
      </w:r>
      <w:r>
        <w:t xml:space="preserve">a" apakšpunktā minētajai galvenajai </w:t>
      </w:r>
      <w:proofErr w:type="spellStart"/>
      <w:r>
        <w:t>mātessabiedrībai</w:t>
      </w:r>
      <w:proofErr w:type="spellEnd"/>
      <w:r>
        <w:t xml:space="preserve"> nav tādas </w:t>
      </w:r>
      <w:proofErr w:type="spellStart"/>
      <w:r>
        <w:t>meitassabiedrības</w:t>
      </w:r>
      <w:proofErr w:type="spellEnd"/>
      <w:r>
        <w:t>, kura ir Latvijas Republikā reģistrēta komercsabiedrība un saskaņā ar Gada pārskatu un konsolidēto gada pārskatu likuma 5.panta ceturto un piekto daļu  – vidēja vai liela sabi</w:t>
      </w:r>
      <w:r>
        <w:t>edrība.</w:t>
      </w:r>
    </w:p>
    <w:p w:rsidR="00EB231A" w:rsidRDefault="006B7D36">
      <w:pPr>
        <w:numPr>
          <w:ilvl w:val="0"/>
          <w:numId w:val="12"/>
        </w:numPr>
        <w:ind w:firstLine="0"/>
      </w:pPr>
      <w:r>
        <w:t> </w:t>
      </w:r>
    </w:p>
    <w:p w:rsidR="00EB231A" w:rsidRDefault="006B7D36">
      <w:pPr>
        <w:numPr>
          <w:ilvl w:val="0"/>
          <w:numId w:val="12"/>
        </w:numPr>
        <w:ind w:firstLine="706"/>
      </w:pPr>
      <w:r>
        <w:t xml:space="preserve">(7) Uz filiāli turpmāk vairs neattiecas šajā likumā noteiktie pienākumi, ja šā panta sestās daļas 1.punktā minētais kritērijs 750 000 000 </w:t>
      </w:r>
      <w:proofErr w:type="spellStart"/>
      <w:r>
        <w:rPr>
          <w:i/>
        </w:rPr>
        <w:t>euro</w:t>
      </w:r>
      <w:proofErr w:type="spellEnd"/>
      <w:r>
        <w:t xml:space="preserve"> vairs netiek izpildīts katrā no diviem pēdējiem pārskata gadiem pēc kārtas (gan kārtējā, gan iepriekšēj</w:t>
      </w:r>
      <w:r>
        <w:t>ā pārskata gadā).</w:t>
      </w:r>
    </w:p>
    <w:p w:rsidR="00EB231A" w:rsidRDefault="006B7D36">
      <w:pPr>
        <w:pStyle w:val="paragraph"/>
        <w:contextualSpacing w:val="0"/>
      </w:pPr>
      <w:r>
        <w:rPr>
          <w:b/>
        </w:rPr>
        <w:t>13.</w:t>
      </w:r>
      <w:r>
        <w:t xml:space="preserve"> </w:t>
      </w:r>
      <w:r>
        <w:rPr>
          <w:b/>
        </w:rPr>
        <w:t xml:space="preserve">pants. Atbrīvojums </w:t>
      </w:r>
      <w:proofErr w:type="spellStart"/>
      <w:r>
        <w:rPr>
          <w:b/>
        </w:rPr>
        <w:t>meitassabiedrībai</w:t>
      </w:r>
      <w:proofErr w:type="spellEnd"/>
      <w:r>
        <w:rPr>
          <w:b/>
        </w:rPr>
        <w:t xml:space="preserve"> un filiālei no pienākumiem attiecībā uz pārskata par ienākuma nodokļiem iesniegšanu un publiskošanu</w:t>
      </w:r>
    </w:p>
    <w:p w:rsidR="00EB231A" w:rsidRDefault="006B7D36">
      <w:pPr>
        <w:numPr>
          <w:ilvl w:val="0"/>
          <w:numId w:val="13"/>
        </w:numPr>
        <w:ind w:firstLine="706"/>
      </w:pPr>
      <w:r>
        <w:t xml:space="preserve">Šā likuma 9. un 10.panta noteikumus attiecībā uz </w:t>
      </w:r>
      <w:proofErr w:type="spellStart"/>
      <w:r>
        <w:t>meitassabiedrību</w:t>
      </w:r>
      <w:proofErr w:type="spellEnd"/>
      <w:r>
        <w:t xml:space="preserve"> un 12.panta noteikumus attiecīb</w:t>
      </w:r>
      <w:r>
        <w:t xml:space="preserve">ā uz filiāli par pārskata par ienākuma nodokļiem iesniegšanu un publiskošanu nepiemēro, ja attiecīgā starptautiskā koncerna (grupas) galvenā </w:t>
      </w:r>
      <w:proofErr w:type="spellStart"/>
      <w:r>
        <w:t>mātessabiedrība</w:t>
      </w:r>
      <w:proofErr w:type="spellEnd"/>
      <w:r>
        <w:t xml:space="preserve">, kas nav Latvijas Republikā reģistrēta komercsabiedrība, vai attiecīgā atsevišķā komercsabiedrība, </w:t>
      </w:r>
      <w:r>
        <w:t>kas nav Latvijas Republikā reģistrēta komercsabiedrība, ir pati sagatavojusi tādu pārskatu par ienākuma nodokļiem, kurš atbilst šā likuma 15.panta noteikumiem attiecībā uz šajā pārskata sniedzamo informāciju, un ir ievēroti visi šādi nosacījumi:</w:t>
      </w:r>
    </w:p>
    <w:p w:rsidR="00EB231A" w:rsidRDefault="006B7D36">
      <w:pPr>
        <w:numPr>
          <w:ilvl w:val="0"/>
          <w:numId w:val="13"/>
        </w:numPr>
        <w:ind w:firstLine="0"/>
      </w:pPr>
      <w:r>
        <w:t>1) pārskat</w:t>
      </w:r>
      <w:r>
        <w:t>s par ienākuma nodokļiem bez maksas ir publiski pieejams elektroniski mašīnlasāmā formātā:</w:t>
      </w:r>
    </w:p>
    <w:p w:rsidR="00EB231A" w:rsidRDefault="006B7D36">
      <w:pPr>
        <w:numPr>
          <w:ilvl w:val="0"/>
          <w:numId w:val="13"/>
        </w:numPr>
        <w:ind w:firstLine="0"/>
      </w:pPr>
      <w:r>
        <w:t xml:space="preserve">a) attiecīgi vai nu attiecīgās starptautiskā koncerna (grupas) galvenās </w:t>
      </w:r>
      <w:proofErr w:type="spellStart"/>
      <w:r>
        <w:t>mātessabiedrības</w:t>
      </w:r>
      <w:proofErr w:type="spellEnd"/>
      <w:r>
        <w:t>, kas nav Latvijas Republikā reģistrēta komercsabiedrība, tīmekļvietnē vai at</w:t>
      </w:r>
      <w:r>
        <w:t>tiecīgās atsevišķās komercsabiedrības, kas nav Latvijas Republikā reģistrēta komercsabiedrība, tīmekļvietnē,</w:t>
      </w:r>
    </w:p>
    <w:p w:rsidR="00EB231A" w:rsidRDefault="006B7D36">
      <w:pPr>
        <w:numPr>
          <w:ilvl w:val="0"/>
          <w:numId w:val="13"/>
        </w:numPr>
        <w:ind w:firstLine="0"/>
      </w:pPr>
      <w:r>
        <w:t>b) vismaz vienā no Eiropas Savienības oficiālajām valodām,</w:t>
      </w:r>
    </w:p>
    <w:p w:rsidR="00EB231A" w:rsidRDefault="006B7D36">
      <w:pPr>
        <w:numPr>
          <w:ilvl w:val="0"/>
          <w:numId w:val="13"/>
        </w:numPr>
        <w:ind w:firstLine="0"/>
      </w:pPr>
      <w:r>
        <w:t xml:space="preserve">c) ne vēlāk kā 12 mēnešus pēc tā pārskata gada bilances datuma, par kuru sagatavots šis </w:t>
      </w:r>
      <w:r>
        <w:t>pārskats par ienākuma nodokļiem;</w:t>
      </w:r>
    </w:p>
    <w:p w:rsidR="00EB231A" w:rsidRDefault="006B7D36">
      <w:pPr>
        <w:numPr>
          <w:ilvl w:val="0"/>
          <w:numId w:val="13"/>
        </w:numPr>
        <w:ind w:firstLine="0"/>
      </w:pPr>
      <w:r>
        <w:t xml:space="preserve">2) pārskatā par ienākuma nodokļiem ir norādīts tās </w:t>
      </w:r>
      <w:proofErr w:type="spellStart"/>
      <w:r>
        <w:t>meitassabiedrības</w:t>
      </w:r>
      <w:proofErr w:type="spellEnd"/>
      <w:r>
        <w:t xml:space="preserve"> vai filiāles nosaukums un juridiskā adrese, kura pārskatu par ienākuma nodokļiem ir iesniegusi publiskošanai saskaņā ar šā likuma 23.pantā noteikto kārtīb</w:t>
      </w:r>
      <w:r>
        <w:t>u.</w:t>
      </w:r>
    </w:p>
    <w:p w:rsidR="00EB231A" w:rsidRDefault="006B7D36">
      <w:pPr>
        <w:numPr>
          <w:ilvl w:val="0"/>
          <w:numId w:val="13"/>
        </w:numPr>
        <w:ind w:firstLine="0"/>
      </w:pPr>
      <w:r>
        <w:t> </w:t>
      </w:r>
    </w:p>
    <w:p w:rsidR="00EB231A" w:rsidRDefault="006B7D36">
      <w:pPr>
        <w:pStyle w:val="paragraph"/>
        <w:contextualSpacing w:val="0"/>
      </w:pPr>
      <w:r>
        <w:rPr>
          <w:b/>
        </w:rPr>
        <w:t>14.</w:t>
      </w:r>
      <w:r>
        <w:t xml:space="preserve"> </w:t>
      </w:r>
      <w:r>
        <w:rPr>
          <w:b/>
        </w:rPr>
        <w:t>pants. Aizliegums izvairīties no pienākuma sagatavot, iesniegt un publiskot pārskatu par ienākuma nodokļiem</w:t>
      </w:r>
    </w:p>
    <w:p w:rsidR="00EB231A" w:rsidRDefault="006B7D36">
      <w:pPr>
        <w:numPr>
          <w:ilvl w:val="0"/>
          <w:numId w:val="14"/>
        </w:numPr>
        <w:ind w:firstLine="706"/>
      </w:pPr>
      <w:r>
        <w:t xml:space="preserve">Aizliegts izvairīties no pienākuma sagatavot, iesniegt un publiskot pārskatu par ienākuma nodokļiem. Ja ir pamats uzskatīt, ka konkrēta </w:t>
      </w:r>
      <w:proofErr w:type="spellStart"/>
      <w:r>
        <w:t>mei</w:t>
      </w:r>
      <w:r>
        <w:t>tassabiedrība</w:t>
      </w:r>
      <w:proofErr w:type="spellEnd"/>
      <w:r>
        <w:t>, kura neatbilst šā likuma 9.pantā noteiktajiem kritērijiem un nosacījumiem, un konkrēta filiāle, kura neatbilst šā likuma 12.panta ceturtajā un sestajā daļā noteiktajiem kritērijiem un nosacījumiem, ir izveidota ar vienīgo mērķi izvairīties n</w:t>
      </w:r>
      <w:r>
        <w:t>o pārskata par ienākuma nodokļiem publiskošanas, tad šajā likumā noteiktie pienākumi attiecīgajai personai saglabājas tādi paši, kādi tie būtu, ja šīs darbības nebūtu veiktas.</w:t>
      </w:r>
    </w:p>
    <w:p w:rsidR="00EB231A" w:rsidRDefault="006B7D36">
      <w:pPr>
        <w:numPr>
          <w:ilvl w:val="0"/>
          <w:numId w:val="14"/>
        </w:numPr>
        <w:ind w:firstLine="0"/>
      </w:pPr>
      <w:r>
        <w:t> </w:t>
      </w:r>
    </w:p>
    <w:p w:rsidR="00EB231A" w:rsidRDefault="006B7D36">
      <w:pPr>
        <w:pStyle w:val="paragraphheader"/>
        <w:contextualSpacing w:val="0"/>
        <w:jc w:val="center"/>
        <w:rPr>
          <w:b/>
        </w:rPr>
      </w:pPr>
      <w:r>
        <w:rPr>
          <w:b/>
        </w:rPr>
        <w:t>IV</w:t>
      </w:r>
      <w:r>
        <w:t xml:space="preserve"> </w:t>
      </w:r>
      <w:r>
        <w:rPr>
          <w:b/>
        </w:rPr>
        <w:t>nodaļa</w:t>
      </w:r>
      <w:r>
        <w:br/>
      </w:r>
      <w:r>
        <w:rPr>
          <w:b/>
        </w:rPr>
        <w:t>Pārskata par ienākuma nodokļiem saturs un sagatavošanas kārtība</w:t>
      </w:r>
    </w:p>
    <w:p w:rsidR="00EB231A" w:rsidRDefault="006B7D36">
      <w:pPr>
        <w:pStyle w:val="paragraph"/>
        <w:contextualSpacing w:val="0"/>
      </w:pPr>
      <w:r>
        <w:rPr>
          <w:b/>
        </w:rPr>
        <w:t>15.</w:t>
      </w:r>
      <w:r>
        <w:t xml:space="preserve"> </w:t>
      </w:r>
      <w:r>
        <w:rPr>
          <w:b/>
        </w:rPr>
        <w:t>pants. Pārskata par ienākuma nodokļiem saturs</w:t>
      </w:r>
    </w:p>
    <w:p w:rsidR="00EB231A" w:rsidRDefault="006B7D36">
      <w:pPr>
        <w:numPr>
          <w:ilvl w:val="0"/>
          <w:numId w:val="15"/>
        </w:numPr>
        <w:ind w:firstLine="706"/>
      </w:pPr>
      <w:r>
        <w:t xml:space="preserve">(1) </w:t>
      </w:r>
      <w:r>
        <w:t xml:space="preserve">Pārskatā par ienākuma nodokļiem sniedz informāciju, kas attiecas uz šajā likumā minētās Latvijas Republikā vai ārvalstī reģistrētās atsevišķās komercsabiedrības vai starptautiska koncerna (grupas) galvenās </w:t>
      </w:r>
      <w:proofErr w:type="spellStart"/>
      <w:r>
        <w:t>mātessabiedrības</w:t>
      </w:r>
      <w:proofErr w:type="spellEnd"/>
      <w:r>
        <w:t xml:space="preserve"> un visu tās radniecīgo sabiedrību</w:t>
      </w:r>
      <w:r>
        <w:t>, kuras ietvertas konsolidētajos finanšu pārskatos par attiecīgo pārskata gadu, visām saimnieciskajām darbībām.</w:t>
      </w:r>
    </w:p>
    <w:p w:rsidR="00EB231A" w:rsidRDefault="006B7D36">
      <w:pPr>
        <w:numPr>
          <w:ilvl w:val="0"/>
          <w:numId w:val="15"/>
        </w:numPr>
        <w:ind w:firstLine="706"/>
      </w:pPr>
      <w:r>
        <w:t>(2) Šā panta pirmajā daļā minētajā pārskatā par ienākuma nodokļiem sniedzamā informācijā iekļauj:</w:t>
      </w:r>
    </w:p>
    <w:p w:rsidR="00EB231A" w:rsidRDefault="006B7D36">
      <w:pPr>
        <w:numPr>
          <w:ilvl w:val="0"/>
          <w:numId w:val="15"/>
        </w:numPr>
        <w:ind w:firstLine="0"/>
      </w:pPr>
      <w:r>
        <w:t>1) vispārīgo informāciju, tai skaitā: </w:t>
      </w:r>
    </w:p>
    <w:p w:rsidR="00EB231A" w:rsidRDefault="006B7D36">
      <w:pPr>
        <w:numPr>
          <w:ilvl w:val="0"/>
          <w:numId w:val="15"/>
        </w:numPr>
        <w:ind w:firstLine="0"/>
      </w:pPr>
      <w:r>
        <w:t>a) atti</w:t>
      </w:r>
      <w:r>
        <w:t xml:space="preserve">ecīgās atsevišķās komercsabiedrības vai starptautiska koncerna (grupas) galvenās </w:t>
      </w:r>
      <w:proofErr w:type="spellStart"/>
      <w:r>
        <w:t>mātessabiedrības</w:t>
      </w:r>
      <w:proofErr w:type="spellEnd"/>
      <w:r>
        <w:t xml:space="preserve"> nosaukums,</w:t>
      </w:r>
    </w:p>
    <w:p w:rsidR="00EB231A" w:rsidRDefault="006B7D36">
      <w:pPr>
        <w:numPr>
          <w:ilvl w:val="0"/>
          <w:numId w:val="15"/>
        </w:numPr>
        <w:ind w:firstLine="0"/>
      </w:pPr>
      <w:r>
        <w:t>b) pārskata gads,</w:t>
      </w:r>
    </w:p>
    <w:p w:rsidR="00EB231A" w:rsidRDefault="006B7D36">
      <w:pPr>
        <w:numPr>
          <w:ilvl w:val="0"/>
          <w:numId w:val="15"/>
        </w:numPr>
        <w:ind w:firstLine="0"/>
      </w:pPr>
      <w:r>
        <w:t>c) šā pārskata sagatavošanai izmantotā valūta,</w:t>
      </w:r>
    </w:p>
    <w:p w:rsidR="00EB231A" w:rsidRDefault="006B7D36">
      <w:pPr>
        <w:numPr>
          <w:ilvl w:val="0"/>
          <w:numId w:val="15"/>
        </w:numPr>
        <w:ind w:firstLine="0"/>
      </w:pPr>
      <w:r>
        <w:t xml:space="preserve">d) ziņas par starptautiska koncerna (grupas) galvenās </w:t>
      </w:r>
      <w:proofErr w:type="spellStart"/>
      <w:r>
        <w:t>mātessabiedrības</w:t>
      </w:r>
      <w:proofErr w:type="spellEnd"/>
      <w:r>
        <w:t xml:space="preserve"> visām tām </w:t>
      </w:r>
      <w:proofErr w:type="spellStart"/>
      <w:r>
        <w:t>m</w:t>
      </w:r>
      <w:r>
        <w:t>eitasabiedrībām</w:t>
      </w:r>
      <w:proofErr w:type="spellEnd"/>
      <w:r>
        <w:t>, kuras ietvertas konsolidētajos finanšu pārskatos par attiecīgo pārskata gadu un ir izveidotas vai reģistrētas Eiropas Savienībā vai nodokļu jurisdikcijās, kas pārskata gadā nodokļu nolūkos nesadarbojas, vai tādās nodokļu jurisdikcijās, kur</w:t>
      </w:r>
      <w:r>
        <w:t>as pārskata gadā sadarbojas nolūkā īstenot labas nodokļu pārvaldības principus;</w:t>
      </w:r>
    </w:p>
    <w:p w:rsidR="00EB231A" w:rsidRDefault="006B7D36">
      <w:pPr>
        <w:numPr>
          <w:ilvl w:val="0"/>
          <w:numId w:val="15"/>
        </w:numPr>
        <w:ind w:firstLine="0"/>
      </w:pPr>
      <w:r>
        <w:t>2) detalizētu informāciju par visiem šīs daļas 1.punkta "a" un "d" apakšpunktā minētajiem subjektiem, tai skaitā:</w:t>
      </w:r>
    </w:p>
    <w:p w:rsidR="00EB231A" w:rsidRDefault="006B7D36">
      <w:pPr>
        <w:numPr>
          <w:ilvl w:val="0"/>
          <w:numId w:val="15"/>
        </w:numPr>
        <w:ind w:firstLine="0"/>
      </w:pPr>
      <w:r>
        <w:t>a) īss galvenā saimnieciskās darbības veida vai vairāku galveno saimnieciskās darbības veidu apraksts,</w:t>
      </w:r>
    </w:p>
    <w:p w:rsidR="00EB231A" w:rsidRDefault="006B7D36">
      <w:pPr>
        <w:numPr>
          <w:ilvl w:val="0"/>
          <w:numId w:val="15"/>
        </w:numPr>
        <w:ind w:firstLine="0"/>
      </w:pPr>
      <w:r>
        <w:t xml:space="preserve">b) darbinieku skaits, kas izteikts </w:t>
      </w:r>
      <w:proofErr w:type="spellStart"/>
      <w:r>
        <w:t>pilnslodzes</w:t>
      </w:r>
      <w:proofErr w:type="spellEnd"/>
      <w:r>
        <w:t xml:space="preserve"> ekvivalentos,</w:t>
      </w:r>
    </w:p>
    <w:p w:rsidR="00EB231A" w:rsidRDefault="006B7D36">
      <w:pPr>
        <w:numPr>
          <w:ilvl w:val="0"/>
          <w:numId w:val="15"/>
        </w:numPr>
        <w:ind w:firstLine="0"/>
      </w:pPr>
      <w:r>
        <w:t>c) ieņēmumu kopsumma,</w:t>
      </w:r>
    </w:p>
    <w:p w:rsidR="00EB231A" w:rsidRDefault="006B7D36">
      <w:pPr>
        <w:numPr>
          <w:ilvl w:val="0"/>
          <w:numId w:val="15"/>
        </w:numPr>
        <w:ind w:firstLine="0"/>
      </w:pPr>
      <w:r>
        <w:t>d) peļņa vai zaudējumi pirms ienākuma nodokļiem,</w:t>
      </w:r>
    </w:p>
    <w:p w:rsidR="00EB231A" w:rsidRDefault="006B7D36">
      <w:pPr>
        <w:numPr>
          <w:ilvl w:val="0"/>
          <w:numId w:val="15"/>
        </w:numPr>
        <w:ind w:firstLine="0"/>
      </w:pPr>
      <w:r>
        <w:t>e) attiecīgajā pārska</w:t>
      </w:r>
      <w:r>
        <w:t>ta gadā uzkrātie ienākuma nodokļi,</w:t>
      </w:r>
    </w:p>
    <w:p w:rsidR="00EB231A" w:rsidRDefault="006B7D36">
      <w:pPr>
        <w:numPr>
          <w:ilvl w:val="0"/>
          <w:numId w:val="15"/>
        </w:numPr>
        <w:ind w:firstLine="0"/>
      </w:pPr>
      <w:r>
        <w:t>f) attiecīgajā pārskata gadā samaksātie ienākuma nodokļi,</w:t>
      </w:r>
    </w:p>
    <w:p w:rsidR="00EB231A" w:rsidRDefault="006B7D36">
      <w:pPr>
        <w:numPr>
          <w:ilvl w:val="0"/>
          <w:numId w:val="15"/>
        </w:numPr>
        <w:ind w:firstLine="0"/>
      </w:pPr>
      <w:r>
        <w:t>g) uzkrātie ienākumi attiecīgā pārskata gada beigās.</w:t>
      </w:r>
    </w:p>
    <w:p w:rsidR="00EB231A" w:rsidRDefault="006B7D36">
      <w:pPr>
        <w:numPr>
          <w:ilvl w:val="0"/>
          <w:numId w:val="15"/>
        </w:numPr>
        <w:ind w:firstLine="0"/>
      </w:pPr>
      <w:r>
        <w:t> </w:t>
      </w:r>
    </w:p>
    <w:p w:rsidR="00EB231A" w:rsidRDefault="006B7D36">
      <w:pPr>
        <w:numPr>
          <w:ilvl w:val="0"/>
          <w:numId w:val="15"/>
        </w:numPr>
        <w:ind w:firstLine="706"/>
      </w:pPr>
      <w:r>
        <w:t>(3) Ieņēmumu kopsummu aprēķina, saskaitot: </w:t>
      </w:r>
    </w:p>
    <w:p w:rsidR="00EB231A" w:rsidRDefault="006B7D36">
      <w:pPr>
        <w:numPr>
          <w:ilvl w:val="0"/>
          <w:numId w:val="15"/>
        </w:numPr>
        <w:ind w:firstLine="0"/>
      </w:pPr>
      <w:r>
        <w:t>1) vai nu šādus Gada pārskatu un konsolidēto gada pārskatu likum</w:t>
      </w:r>
      <w:r>
        <w:t>a 2. un 3.pielikumā minētos ieņēmumu veidus:</w:t>
      </w:r>
    </w:p>
    <w:p w:rsidR="00EB231A" w:rsidRDefault="006B7D36">
      <w:pPr>
        <w:numPr>
          <w:ilvl w:val="0"/>
          <w:numId w:val="15"/>
        </w:numPr>
        <w:ind w:firstLine="0"/>
      </w:pPr>
      <w:r>
        <w:t>a) neto apgrozījums,</w:t>
      </w:r>
    </w:p>
    <w:p w:rsidR="00EB231A" w:rsidRDefault="006B7D36">
      <w:pPr>
        <w:numPr>
          <w:ilvl w:val="0"/>
          <w:numId w:val="15"/>
        </w:numPr>
        <w:ind w:firstLine="0"/>
      </w:pPr>
      <w:r>
        <w:t>b) pārējie saimnieciskās darbības ieņēmumi,</w:t>
      </w:r>
    </w:p>
    <w:p w:rsidR="00EB231A" w:rsidRDefault="006B7D36">
      <w:pPr>
        <w:numPr>
          <w:ilvl w:val="0"/>
          <w:numId w:val="15"/>
        </w:numPr>
        <w:ind w:firstLine="0"/>
      </w:pPr>
      <w:r>
        <w:t>c) ieņēmumi no līdzdalības (turpmāk arī – dividendes), izņemot ieņēmumus no līdzdalības radniecīgo sabiedrību kapitālā,</w:t>
      </w:r>
    </w:p>
    <w:p w:rsidR="00EB231A" w:rsidRDefault="006B7D36">
      <w:pPr>
        <w:numPr>
          <w:ilvl w:val="0"/>
          <w:numId w:val="15"/>
        </w:numPr>
        <w:ind w:firstLine="0"/>
      </w:pPr>
      <w:r>
        <w:t>d) ieņēmumi no pārējiem vē</w:t>
      </w:r>
      <w:r>
        <w:t>rtspapīriem un aizdevumiem, kas veidojuši ilgtermiņa finanšu ieguldījumus,</w:t>
      </w:r>
    </w:p>
    <w:p w:rsidR="00EB231A" w:rsidRDefault="006B7D36">
      <w:pPr>
        <w:numPr>
          <w:ilvl w:val="0"/>
          <w:numId w:val="15"/>
        </w:numPr>
        <w:ind w:firstLine="0"/>
      </w:pPr>
      <w:r>
        <w:t>e) pārējie procentu ieņēmumi un tamlīdzīgi ieņēmumi;</w:t>
      </w:r>
    </w:p>
    <w:p w:rsidR="00EB231A" w:rsidRDefault="006B7D36">
      <w:pPr>
        <w:numPr>
          <w:ilvl w:val="0"/>
          <w:numId w:val="15"/>
        </w:numPr>
        <w:ind w:firstLine="0"/>
      </w:pPr>
      <w:r>
        <w:t>2) vai arī tādus ieņēmumu veidus, kādi paredzēti atbilstoši attiecīgajai finanšu pārskatu sagatavošanas sistēmai, pamatojoties u</w:t>
      </w:r>
      <w:r>
        <w:t>z kuru tiek sagatavoti attiecīgās komercsabiedrības finanšu pārskati, izņemot ieņēmumus no aktīvu un saistību vērtības korekcijām un ieņēmumus no līdzdalības radniecīgo sabiedrību kapitālā (no radniecīgajām sabiedrībām saņemtās dividendes).</w:t>
      </w:r>
    </w:p>
    <w:p w:rsidR="00EB231A" w:rsidRDefault="006B7D36">
      <w:pPr>
        <w:numPr>
          <w:ilvl w:val="0"/>
          <w:numId w:val="15"/>
        </w:numPr>
        <w:ind w:firstLine="0"/>
      </w:pPr>
      <w:r>
        <w:t> </w:t>
      </w:r>
    </w:p>
    <w:p w:rsidR="00EB231A" w:rsidRDefault="006B7D36">
      <w:pPr>
        <w:numPr>
          <w:ilvl w:val="0"/>
          <w:numId w:val="15"/>
        </w:numPr>
        <w:ind w:firstLine="706"/>
      </w:pPr>
      <w:r>
        <w:t xml:space="preserve">(4) Šā panta </w:t>
      </w:r>
      <w:r>
        <w:t>izpratnē:</w:t>
      </w:r>
    </w:p>
    <w:p w:rsidR="00EB231A" w:rsidRDefault="006B7D36">
      <w:pPr>
        <w:numPr>
          <w:ilvl w:val="0"/>
          <w:numId w:val="15"/>
        </w:numPr>
        <w:ind w:firstLine="0"/>
      </w:pPr>
      <w:r>
        <w:t>1) uzkrātie ienākuma nodokļi ir par komercsabiedrības un filiāles peļņu vai zaudējumiem, kas apliekami ar nodokļiem attiecīgajā nodokļu jurisdikcijā, pārskata gadā aprēķināto ienākuma nodokļu summa;</w:t>
      </w:r>
    </w:p>
    <w:p w:rsidR="00EB231A" w:rsidRDefault="006B7D36">
      <w:pPr>
        <w:numPr>
          <w:ilvl w:val="0"/>
          <w:numId w:val="15"/>
        </w:numPr>
        <w:ind w:firstLine="0"/>
      </w:pPr>
      <w:r>
        <w:t>2) samaksātie ienākuma nodokļi ir ienākuma nodokļu summa, kuru attiecīgajā pārskata gadā samaksājušas komercsabiedrības un filiāles attiecīgajā nodokļu jurisdikcijā pēc naudas plūsmas (kases) principa.</w:t>
      </w:r>
    </w:p>
    <w:p w:rsidR="00EB231A" w:rsidRDefault="006B7D36">
      <w:pPr>
        <w:pStyle w:val="paragraph"/>
        <w:contextualSpacing w:val="0"/>
      </w:pPr>
      <w:r>
        <w:rPr>
          <w:b/>
        </w:rPr>
        <w:t>16.</w:t>
      </w:r>
      <w:r>
        <w:t xml:space="preserve"> </w:t>
      </w:r>
      <w:r>
        <w:rPr>
          <w:b/>
        </w:rPr>
        <w:t>pants. Pārskata par ienākuma nodokļiem sagatavošan</w:t>
      </w:r>
      <w:r>
        <w:rPr>
          <w:b/>
        </w:rPr>
        <w:t>as speciālie noteikumi</w:t>
      </w:r>
      <w:r>
        <w:br/>
      </w:r>
      <w:r>
        <w:rPr>
          <w:b/>
        </w:rPr>
        <w:t> </w:t>
      </w:r>
    </w:p>
    <w:p w:rsidR="00EB231A" w:rsidRDefault="006B7D36">
      <w:pPr>
        <w:numPr>
          <w:ilvl w:val="0"/>
          <w:numId w:val="16"/>
        </w:numPr>
        <w:ind w:firstLine="706"/>
      </w:pPr>
      <w:r>
        <w:t>(1) Sagatavojot pārskatu par ienākuma nodokļiem, ievēro šādus speciālos noteikumus:</w:t>
      </w:r>
    </w:p>
    <w:p w:rsidR="00EB231A" w:rsidRDefault="006B7D36">
      <w:pPr>
        <w:numPr>
          <w:ilvl w:val="0"/>
          <w:numId w:val="16"/>
        </w:numPr>
        <w:ind w:firstLine="0"/>
      </w:pPr>
      <w:r>
        <w:t>1) aprēķinot šā likuma 15.panta otrās daļas 2.punkta "c" apakšpunktā minēto ieņēmumu kopsummu, tajā ietver ieņēmumus, kas radušies darījumos ar sai</w:t>
      </w:r>
      <w:r>
        <w:t>stītajām pusēm, izņemot ieņēmumus no līdzdalības radniecīgo sabiedrību kapitālā;</w:t>
      </w:r>
    </w:p>
    <w:p w:rsidR="00EB231A" w:rsidRDefault="006B7D36">
      <w:pPr>
        <w:numPr>
          <w:ilvl w:val="0"/>
          <w:numId w:val="16"/>
        </w:numPr>
        <w:ind w:firstLine="0"/>
      </w:pPr>
      <w:r>
        <w:t>2) šā likuma 15.panta ceturtās daļas 1.punktā minētā pārskata gadā aprēķinātā ienākuma nodokļa summa ietver tikai ar komercsabiedrības vai filiāles saimniecisko darbību attiec</w:t>
      </w:r>
      <w:r>
        <w:t>īgajā pārskata gadā saistīto un izdevumos iekļauto ienākuma nodokļa summu. Tā neietver izdevumus, kas saistīti ar atliktā nodokļa aktīvu vai  saistību, vai uzkrājumu paredzamām vai neskaidrām nodokļu saistībām veidošanu; </w:t>
      </w:r>
    </w:p>
    <w:p w:rsidR="00EB231A" w:rsidRDefault="006B7D36">
      <w:pPr>
        <w:numPr>
          <w:ilvl w:val="0"/>
          <w:numId w:val="16"/>
        </w:numPr>
        <w:ind w:firstLine="0"/>
      </w:pPr>
      <w:r>
        <w:t>3) šā likuma 15.panta ceturtās daļ</w:t>
      </w:r>
      <w:r>
        <w:t>as 2.punktā minētie attiecīgajā pārskata gadā samaksātie ienākuma nodokļi ietver arī tās ienākuma nodokļa summas, kuras pie koncerna (grupas) piederošu komercsabiedrību vai to filiāļu vietā samaksājušas citas šī koncerna (grupas) radniecīgās sabiedrības;</w:t>
      </w:r>
    </w:p>
    <w:p w:rsidR="00EB231A" w:rsidRDefault="006B7D36">
      <w:pPr>
        <w:numPr>
          <w:ilvl w:val="0"/>
          <w:numId w:val="16"/>
        </w:numPr>
        <w:ind w:firstLine="0"/>
      </w:pPr>
      <w:r>
        <w:t>4</w:t>
      </w:r>
      <w:r>
        <w:t xml:space="preserve">) par šā likuma 15.panta otrās daļas 2.punkta "g" apakšpunktā minētajiem uzkrātajiem ienākumiem uzskatāma iepriekšējo pārskata gadu un attiecīgā pārskata gada peļņas kopsumma, kuras sadale vēl nav izlemta. Par filiāles uzkrātajiem ienākumiem uzskatāmi tās </w:t>
      </w:r>
      <w:r>
        <w:t>komercsabiedrības, kuras vārdā darbojas konkrētā filiāle, uzkrātie ienākumi.</w:t>
      </w:r>
    </w:p>
    <w:p w:rsidR="00EB231A" w:rsidRDefault="006B7D36">
      <w:pPr>
        <w:numPr>
          <w:ilvl w:val="0"/>
          <w:numId w:val="16"/>
        </w:numPr>
        <w:ind w:firstLine="706"/>
      </w:pPr>
      <w:r>
        <w:t xml:space="preserve">(2) Atkāpjoties no šā likuma 15.panta noteikumiem, pārskatu par ienākuma nodokļiem var sagatavot saskaņā ar normatīvajā regulējumā par starptautiskas uzņēmumu grupas pārskatu par </w:t>
      </w:r>
      <w:r>
        <w:t>katru valsti noteikto aizpildīšanas vispārīgo un speciālo kārtību.</w:t>
      </w:r>
    </w:p>
    <w:p w:rsidR="00EB231A" w:rsidRDefault="006B7D36">
      <w:pPr>
        <w:numPr>
          <w:ilvl w:val="0"/>
          <w:numId w:val="16"/>
        </w:numPr>
        <w:ind w:firstLine="0"/>
      </w:pPr>
      <w:r>
        <w:t> </w:t>
      </w:r>
    </w:p>
    <w:p w:rsidR="00EB231A" w:rsidRDefault="006B7D36">
      <w:pPr>
        <w:numPr>
          <w:ilvl w:val="0"/>
          <w:numId w:val="16"/>
        </w:numPr>
        <w:ind w:firstLine="706"/>
      </w:pPr>
      <w:r>
        <w:t xml:space="preserve">(3) Pārskatu par ienākuma nodokļiem sagatavo elektroniski </w:t>
      </w:r>
      <w:proofErr w:type="spellStart"/>
      <w:r>
        <w:t>cilvēklasāmā</w:t>
      </w:r>
      <w:proofErr w:type="spellEnd"/>
      <w:r>
        <w:t xml:space="preserve"> un mašīnlasāmā formātā, izmantojot ar Eiropas Komisijas īstenošanas aktiem apstiprināto kopējo veidni un ar tiem not</w:t>
      </w:r>
      <w:r>
        <w:t>eikto elektronisko pārskata sniegšanas formātu.</w:t>
      </w:r>
    </w:p>
    <w:p w:rsidR="00EB231A" w:rsidRDefault="00EB231A">
      <w:pPr>
        <w:numPr>
          <w:ilvl w:val="0"/>
          <w:numId w:val="16"/>
        </w:numPr>
        <w:ind w:firstLine="0"/>
      </w:pPr>
    </w:p>
    <w:p w:rsidR="00EB231A" w:rsidRDefault="006B7D36">
      <w:pPr>
        <w:numPr>
          <w:ilvl w:val="0"/>
          <w:numId w:val="16"/>
        </w:numPr>
        <w:ind w:firstLine="0"/>
      </w:pPr>
      <w:r>
        <w:t> </w:t>
      </w:r>
    </w:p>
    <w:p w:rsidR="00EB231A" w:rsidRDefault="006B7D36">
      <w:pPr>
        <w:pStyle w:val="paragraph"/>
        <w:contextualSpacing w:val="0"/>
      </w:pPr>
      <w:r>
        <w:rPr>
          <w:b/>
        </w:rPr>
        <w:t>17.</w:t>
      </w:r>
      <w:r>
        <w:t xml:space="preserve"> </w:t>
      </w:r>
      <w:r>
        <w:rPr>
          <w:b/>
        </w:rPr>
        <w:t>pants. Informācijas sniegšana sadalījumā pa Eiropas Savienības dalībvalstīm un nodokļu jurisdikcijām</w:t>
      </w:r>
      <w:r>
        <w:br/>
      </w:r>
      <w:r>
        <w:rPr>
          <w:b/>
        </w:rPr>
        <w:t> </w:t>
      </w:r>
    </w:p>
    <w:p w:rsidR="00EB231A" w:rsidRDefault="006B7D36">
      <w:pPr>
        <w:numPr>
          <w:ilvl w:val="0"/>
          <w:numId w:val="17"/>
        </w:numPr>
        <w:ind w:firstLine="706"/>
      </w:pPr>
      <w:r>
        <w:t>(1) Pārskatā par ienākuma nodokļiem šā likuma 15.pantā vai 16.panta otrajā daļā minēto informāciju</w:t>
      </w:r>
      <w:r>
        <w:t xml:space="preserve"> norāda sadalījumā pa Eiropas Savienības dalībvalstīm (par katru dalībvalsti atsevišķi). Ja attiecīgajā dalībvalstī ietilpst vairākas nodokļu jurisdikcijas, informāciju apvieno šīs dalībvalsts līmenī.</w:t>
      </w:r>
    </w:p>
    <w:p w:rsidR="00EB231A" w:rsidRDefault="006B7D36">
      <w:pPr>
        <w:numPr>
          <w:ilvl w:val="0"/>
          <w:numId w:val="17"/>
        </w:numPr>
        <w:ind w:firstLine="706"/>
      </w:pPr>
      <w:r>
        <w:t>(2) Papildus šā panta pirmajā daļā minētajam pārskatā p</w:t>
      </w:r>
      <w:r>
        <w:t>ar ienākuma nodokļiem šā likuma 15.pantā vai 16.panta otrajā daļā minēto informāciju norāda arī:</w:t>
      </w:r>
    </w:p>
    <w:p w:rsidR="00EB231A" w:rsidRDefault="006B7D36">
      <w:pPr>
        <w:numPr>
          <w:ilvl w:val="0"/>
          <w:numId w:val="17"/>
        </w:numPr>
        <w:ind w:firstLine="0"/>
      </w:pPr>
      <w:r>
        <w:t>1) atsevišķi par katru nodokļu jurisdikciju, kura: </w:t>
      </w:r>
    </w:p>
    <w:p w:rsidR="00EB231A" w:rsidRDefault="006B7D36">
      <w:pPr>
        <w:numPr>
          <w:ilvl w:val="0"/>
          <w:numId w:val="17"/>
        </w:numPr>
        <w:ind w:firstLine="0"/>
      </w:pPr>
      <w:r>
        <w:t>a) tā gada 1. martā, par kuru sagatavots pārskats, uzskatāma par tādu nodokļu jurisdikciju, kas nodokļu nol</w:t>
      </w:r>
      <w:r>
        <w:t>ūkos nesadarbojas,</w:t>
      </w:r>
    </w:p>
    <w:p w:rsidR="00EB231A" w:rsidRDefault="006B7D36">
      <w:pPr>
        <w:numPr>
          <w:ilvl w:val="0"/>
          <w:numId w:val="17"/>
        </w:numPr>
        <w:ind w:firstLine="0"/>
      </w:pPr>
      <w:r>
        <w:t>b) tā gada 1. martā, par kuru sagatavots pārskats, kā arī iepriekšējā gada 1. martā uzskatāma par tādu nodokļu jurisdikciju, kura sadarbojas nolūkā īstenot labas nodokļu pārvaldības principus;</w:t>
      </w:r>
    </w:p>
    <w:p w:rsidR="00EB231A" w:rsidRDefault="006B7D36">
      <w:pPr>
        <w:numPr>
          <w:ilvl w:val="0"/>
          <w:numId w:val="17"/>
        </w:numPr>
        <w:ind w:firstLine="0"/>
      </w:pPr>
      <w:r>
        <w:t>2) apkopotā veidā par citām nodokļu jurisdik</w:t>
      </w:r>
      <w:r>
        <w:t>cijām, kas nav šā panta pirmajā daļā vai šīs daļas 1.punktā minētās nodokļu jurisdikcijas.</w:t>
      </w:r>
    </w:p>
    <w:p w:rsidR="00EB231A" w:rsidRDefault="006B7D36">
      <w:pPr>
        <w:numPr>
          <w:ilvl w:val="0"/>
          <w:numId w:val="17"/>
        </w:numPr>
        <w:ind w:firstLine="706"/>
      </w:pPr>
      <w:r>
        <w:t>(3) Šajā pantā minēto nodokļu jurisdikciju noteic, pamatojoties uz radniecīgās sabiedrības vai atsevišķās komercsabiedrības vai filiāles izveidošanas vai reģistrācij</w:t>
      </w:r>
      <w:r>
        <w:t>as vietu vai konkrētās saimnieciskās darbības vai pastāvīgās saimnieciskās darbības vietu, kurā, ņemot vērā attiecīgās radniecīgās sabiedrības vai atsevišķās komercsabiedrības vai filiāles veikto saimniecisko darbību, to var aplikt ar ienākuma nodokļiem at</w:t>
      </w:r>
      <w:r>
        <w:t>tiecīgajā nodokļu jurisdikcijā.</w:t>
      </w:r>
    </w:p>
    <w:p w:rsidR="00EB231A" w:rsidRDefault="006B7D36">
      <w:pPr>
        <w:numPr>
          <w:ilvl w:val="0"/>
          <w:numId w:val="17"/>
        </w:numPr>
        <w:ind w:firstLine="706"/>
      </w:pPr>
      <w:r>
        <w:t>(4) Ja vairāku radniecīgo sabiedrību saimniecisko darbību var aplikt ar ienākuma nodokļiem vienā nodokļu jurisdikcijā, tad informāciju, kuru pārskatā par ienākuma nodokļiem attiecina uz šo vienu nodokļu jurisdikciju, aprēķin</w:t>
      </w:r>
      <w:r>
        <w:t>a, summējot informāciju par katras šādas radniecīgās sabiedrības un tās filiāļu, ja tādas ir, saimniecisko darbību minētajā nodokļu jurisdikcijā.</w:t>
      </w:r>
    </w:p>
    <w:p w:rsidR="00EB231A" w:rsidRDefault="006B7D36">
      <w:pPr>
        <w:numPr>
          <w:ilvl w:val="0"/>
          <w:numId w:val="17"/>
        </w:numPr>
        <w:ind w:firstLine="706"/>
      </w:pPr>
      <w:r>
        <w:t>(5) Sagatavojot pārskatu par ienākuma nodokļiem, informāciju par konkrētu saimniecisko darbību attiecina tikai</w:t>
      </w:r>
      <w:r>
        <w:t xml:space="preserve"> uz vienu nodokļu jurisdikciju.</w:t>
      </w:r>
    </w:p>
    <w:p w:rsidR="00EB231A" w:rsidRDefault="006B7D36">
      <w:pPr>
        <w:pStyle w:val="paragraph"/>
        <w:contextualSpacing w:val="0"/>
      </w:pPr>
      <w:r>
        <w:rPr>
          <w:b/>
        </w:rPr>
        <w:t>18.</w:t>
      </w:r>
      <w:r>
        <w:t xml:space="preserve"> </w:t>
      </w:r>
      <w:r>
        <w:rPr>
          <w:b/>
        </w:rPr>
        <w:t>pants. Iespēja uz laiku atkāpties no konkrētām informācijas sniegšanas prasībām</w:t>
      </w:r>
      <w:r>
        <w:br/>
      </w:r>
      <w:r>
        <w:rPr>
          <w:b/>
        </w:rPr>
        <w:t> </w:t>
      </w:r>
    </w:p>
    <w:p w:rsidR="00EB231A" w:rsidRDefault="006B7D36">
      <w:pPr>
        <w:numPr>
          <w:ilvl w:val="0"/>
          <w:numId w:val="18"/>
        </w:numPr>
        <w:ind w:firstLine="706"/>
      </w:pPr>
      <w:r>
        <w:t xml:space="preserve">(1) </w:t>
      </w:r>
      <w:r>
        <w:t>Pārskatā par ienākuma nodokļiem atļauts uz laiku neiekļaut vienu vai vairākus konkrētus informācijas elementus no šā likuma 15.panta otrās daļas 2.punktā vai 16.panta otrajā daļā noteiktā informācijas kopuma (turpmāk - iespēja uz laiku atkāpties no konkrēt</w:t>
      </w:r>
      <w:r>
        <w:t>ām informācijas sniegšanas prasībām), ja konkrētas informācijas atklāšana varētu nopietni kaitēt komercsabiedrību, uz kurām šis pārskats attiecas, komerciālajām interesēm. Šādā gadījumā pārskatā par ienākuma nodokļiem skaidri norāda,  kurš informācijas ele</w:t>
      </w:r>
      <w:r>
        <w:t>ments nav iekļauts, un paskaidro, pienācīgi pamatojot, tā neiekļaušanas iemeslu.</w:t>
      </w:r>
    </w:p>
    <w:p w:rsidR="00EB231A" w:rsidRDefault="006B7D36">
      <w:pPr>
        <w:numPr>
          <w:ilvl w:val="0"/>
          <w:numId w:val="18"/>
        </w:numPr>
        <w:ind w:firstLine="706"/>
      </w:pPr>
      <w:r>
        <w:t>(2) Ja komercsabiedrība izmantojusi šā panta pirmajā daļā minēto iespēju uz laiku atkāpties no konkrētām informācijas sniegšanas prasībām, tad visu saskaņā ar šā panta pirmo d</w:t>
      </w:r>
      <w:r>
        <w:t>aļu neiekļauto informāciju iekļauj vēlākā pārskatā par ienākuma nodokļiem, tomēr ne vēlāk kā piecus gadus no šīs informācijas sākotnējās neiekļaušanas dienas.</w:t>
      </w:r>
    </w:p>
    <w:p w:rsidR="00EB231A" w:rsidRDefault="006B7D36">
      <w:pPr>
        <w:numPr>
          <w:ilvl w:val="0"/>
          <w:numId w:val="18"/>
        </w:numPr>
        <w:ind w:firstLine="706"/>
      </w:pPr>
      <w:r>
        <w:t xml:space="preserve">(3) </w:t>
      </w:r>
      <w:r>
        <w:t>Šā panta pirmajā daļā minētā iespēja uz laiku atkāpties no konkrētām informācijas sniegšanas prasībām nav attiecināma uz informāciju, kas saskaņā ar šā likuma 17.panta otrās daļas 1.punktu sniedzama atsevišķi par katru nodokļu jurisdikciju, kura:</w:t>
      </w:r>
    </w:p>
    <w:p w:rsidR="00EB231A" w:rsidRDefault="006B7D36">
      <w:pPr>
        <w:numPr>
          <w:ilvl w:val="0"/>
          <w:numId w:val="18"/>
        </w:numPr>
        <w:ind w:firstLine="0"/>
      </w:pPr>
      <w:r>
        <w:t>1) tā gad</w:t>
      </w:r>
      <w:r>
        <w:t>a 1. martā, par kuru sagatavots pārskats, uzskatāma par tādu nodokļu jurisdikciju, kas nodokļu nolūkos nesadarbojas,</w:t>
      </w:r>
    </w:p>
    <w:p w:rsidR="00EB231A" w:rsidRDefault="006B7D36">
      <w:pPr>
        <w:numPr>
          <w:ilvl w:val="0"/>
          <w:numId w:val="18"/>
        </w:numPr>
        <w:ind w:firstLine="0"/>
      </w:pPr>
      <w:r>
        <w:t>2) tā gada 1. martā, par kuru sagatavots pārskats, kā arī iepriekšējā gada 1. martā uzskatāma par tādu nodokļu jurisdikciju, kura sadarboja</w:t>
      </w:r>
      <w:r>
        <w:t>s nolūkā īstenot labas nodokļu pārvaldības principus.</w:t>
      </w:r>
    </w:p>
    <w:p w:rsidR="00EB231A" w:rsidRDefault="006B7D36">
      <w:pPr>
        <w:pStyle w:val="paragraph"/>
        <w:contextualSpacing w:val="0"/>
      </w:pPr>
      <w:r>
        <w:rPr>
          <w:b/>
        </w:rPr>
        <w:t>19.</w:t>
      </w:r>
      <w:r>
        <w:t xml:space="preserve"> </w:t>
      </w:r>
      <w:r>
        <w:rPr>
          <w:b/>
        </w:rPr>
        <w:t>pants. Papildu informācijas sniegšana  pārskatā par ienākuma nodokļiem</w:t>
      </w:r>
    </w:p>
    <w:p w:rsidR="00EB231A" w:rsidRDefault="006B7D36">
      <w:pPr>
        <w:numPr>
          <w:ilvl w:val="0"/>
          <w:numId w:val="19"/>
        </w:numPr>
        <w:ind w:firstLine="706"/>
      </w:pPr>
      <w:r>
        <w:t>Šajā likumā minētās personas, kurām ir pienākums sagatavot, iesniegt un publiskot pārskatu par ienākuma nodokļiem, šajā pārskat</w:t>
      </w:r>
      <w:r>
        <w:t>ā (attiecīgā gadījumā koncerna (grupas) līmenī) var sniegt papildu informāciju, lai paskaidrotu jebkādas būtiskas atšķirības starp attiecīgajā pārskata gadā uzkrātā ienākuma nodokļa summu un samaksātā ienākuma nodokļa summu, un, ja nepieciešams, skaidrojum</w:t>
      </w:r>
      <w:r>
        <w:t>us pamatot ar attiecīgajiem iepriekšējo pārskata gadu datiem.</w:t>
      </w:r>
    </w:p>
    <w:p w:rsidR="00EB231A" w:rsidRDefault="006B7D36">
      <w:pPr>
        <w:numPr>
          <w:ilvl w:val="0"/>
          <w:numId w:val="19"/>
        </w:numPr>
        <w:ind w:firstLine="0"/>
      </w:pPr>
      <w:r>
        <w:t> </w:t>
      </w:r>
    </w:p>
    <w:p w:rsidR="00EB231A" w:rsidRDefault="006B7D36">
      <w:pPr>
        <w:pStyle w:val="paragraph"/>
        <w:contextualSpacing w:val="0"/>
      </w:pPr>
      <w:r>
        <w:rPr>
          <w:b/>
        </w:rPr>
        <w:t>20.</w:t>
      </w:r>
      <w:r>
        <w:t xml:space="preserve"> </w:t>
      </w:r>
      <w:r>
        <w:rPr>
          <w:b/>
        </w:rPr>
        <w:t>pants. Vērtības mērs pārskatā par ienākuma nodokļiem</w:t>
      </w:r>
    </w:p>
    <w:p w:rsidR="00EB231A" w:rsidRDefault="006B7D36">
      <w:pPr>
        <w:numPr>
          <w:ilvl w:val="0"/>
          <w:numId w:val="20"/>
        </w:numPr>
        <w:ind w:firstLine="706"/>
      </w:pPr>
      <w:r>
        <w:t xml:space="preserve">(1) Pārskatā par ienākuma nodokļiem vērtības mērs ir tā pati valūta, kas lietota par vērtības mēru galvenās </w:t>
      </w:r>
      <w:proofErr w:type="spellStart"/>
      <w:r>
        <w:t>mātessabiedrības</w:t>
      </w:r>
      <w:proofErr w:type="spellEnd"/>
      <w:r>
        <w:t xml:space="preserve"> sagatavota</w:t>
      </w:r>
      <w:r>
        <w:t xml:space="preserve">jos konsolidētajos finanšu pārskatos vai atsevišķās komercsabiedrības gada finanšu pārskatos. Galvenās </w:t>
      </w:r>
      <w:proofErr w:type="spellStart"/>
      <w:r>
        <w:t>mātessabiedrības</w:t>
      </w:r>
      <w:proofErr w:type="spellEnd"/>
      <w:r>
        <w:t xml:space="preserve"> vai atsevišķās komercsabiedrības sagatavotā pārskata par ienākuma nodokļiem pārrēķināšana no par vērtības mēru lietotās valūtas uz </w:t>
      </w:r>
      <w:proofErr w:type="spellStart"/>
      <w:r>
        <w:rPr>
          <w:i/>
        </w:rPr>
        <w:t>euro</w:t>
      </w:r>
      <w:proofErr w:type="spellEnd"/>
      <w:r>
        <w:t xml:space="preserve"> </w:t>
      </w:r>
      <w:r>
        <w:t>publiskošanas vajadzībām nav nepieciešama.</w:t>
      </w:r>
    </w:p>
    <w:p w:rsidR="00EB231A" w:rsidRDefault="006B7D36">
      <w:pPr>
        <w:numPr>
          <w:ilvl w:val="0"/>
          <w:numId w:val="20"/>
        </w:numPr>
        <w:ind w:firstLine="706"/>
      </w:pPr>
      <w:r>
        <w:t xml:space="preserve">(2) Šā likuma 10.pantā minētajā gadījumā </w:t>
      </w:r>
      <w:proofErr w:type="spellStart"/>
      <w:r>
        <w:t>meitassabiedrība</w:t>
      </w:r>
      <w:proofErr w:type="spellEnd"/>
      <w:r>
        <w:t xml:space="preserve"> atkāpjas no šā panta pirmās daļas noteikuma un, sagatavojot pārskatu par ienākuma nodokļiem, par vērtības mēru lieto </w:t>
      </w:r>
      <w:proofErr w:type="spellStart"/>
      <w:r>
        <w:rPr>
          <w:i/>
        </w:rPr>
        <w:t>euro</w:t>
      </w:r>
      <w:proofErr w:type="spellEnd"/>
      <w:r>
        <w:t xml:space="preserve"> — to pašu valūtu, kuru </w:t>
      </w:r>
      <w:proofErr w:type="spellStart"/>
      <w:r>
        <w:t>meitassabi</w:t>
      </w:r>
      <w:r>
        <w:t>edrība</w:t>
      </w:r>
      <w:proofErr w:type="spellEnd"/>
      <w:r>
        <w:t xml:space="preserve"> lieto par vērtības mēru, sagatavojot savus publiskošanai paredzētos gada finanšu pārskatus.</w:t>
      </w:r>
    </w:p>
    <w:p w:rsidR="00EB231A" w:rsidRDefault="006B7D36">
      <w:pPr>
        <w:numPr>
          <w:ilvl w:val="0"/>
          <w:numId w:val="20"/>
        </w:numPr>
        <w:ind w:firstLine="706"/>
      </w:pPr>
      <w:r>
        <w:t xml:space="preserve">(3) Ja pārskata par ienākuma nodokļiem sagatavošanas vajadzībām nepieciešams šā likuma 4., 5., 9. un 12.pantā minēto kritēriju robežvērtības pārrēķināt no </w:t>
      </w:r>
      <w:proofErr w:type="spellStart"/>
      <w:r>
        <w:t>eu</w:t>
      </w:r>
      <w:r>
        <w:t>ro</w:t>
      </w:r>
      <w:proofErr w:type="spellEnd"/>
      <w:r>
        <w:t xml:space="preserve"> uz ārvalstu valūtu, tad pārrēķinot:</w:t>
      </w:r>
    </w:p>
    <w:p w:rsidR="00EB231A" w:rsidRDefault="006B7D36">
      <w:pPr>
        <w:numPr>
          <w:ilvl w:val="0"/>
          <w:numId w:val="20"/>
        </w:numPr>
        <w:ind w:firstLine="0"/>
      </w:pPr>
      <w:r>
        <w:t xml:space="preserve">1) tādas Eiropas Savienības dalībvalsts valūtā, kura nav ieviesusi </w:t>
      </w:r>
      <w:proofErr w:type="spellStart"/>
      <w:r>
        <w:rPr>
          <w:i/>
        </w:rPr>
        <w:t>euro</w:t>
      </w:r>
      <w:proofErr w:type="spellEnd"/>
      <w:r>
        <w:t>, izmanto valūtas kursu, kas 2021. gada 21. decembrī publicēts Eiropas Savienības Oficiālajā Vēstnesī. Pārrēķināšanā uz attiecīgās dalībvalsts val</w:t>
      </w:r>
      <w:r>
        <w:t>ūtu iegūtās kritēriju robežvērtības summu var noapaļot līdz tuvākajam tūkstotim, samazinot vai palielinot, tomēr ne vairāk kā par 5 procentiem;</w:t>
      </w:r>
    </w:p>
    <w:p w:rsidR="00EB231A" w:rsidRDefault="006B7D36">
      <w:pPr>
        <w:numPr>
          <w:ilvl w:val="0"/>
          <w:numId w:val="20"/>
        </w:numPr>
        <w:ind w:firstLine="0"/>
      </w:pPr>
      <w:r>
        <w:t xml:space="preserve">2) trešās valsts valūtā, izmanto 2021. gada 21. decembrī Eiropas Centrālās bankas publicēto </w:t>
      </w:r>
      <w:proofErr w:type="spellStart"/>
      <w:r>
        <w:rPr>
          <w:i/>
        </w:rPr>
        <w:t>euro</w:t>
      </w:r>
      <w:proofErr w:type="spellEnd"/>
      <w:r>
        <w:t xml:space="preserve"> atsauces kursu,</w:t>
      </w:r>
      <w:r>
        <w:t xml:space="preserve"> bet, ja konkrētai ārvalstu valūtai nav Eiropas Centrālās bankas publicētā </w:t>
      </w:r>
      <w:proofErr w:type="spellStart"/>
      <w:r>
        <w:t>euro</w:t>
      </w:r>
      <w:proofErr w:type="spellEnd"/>
      <w:r>
        <w:t xml:space="preserve"> atsauces kursa, izmanto cita pasaules finanšu tirgus atzīta finanšu informācijas sniedzēja periodiskajā izdevumā vai tā tīmekļvietnē 2021. gada 21. decembrī publicētā valūtas t</w:t>
      </w:r>
      <w:r>
        <w:t>irgus kursu. Pārrēķināšanā uz attiecīgo trešās valsts valūtu iegūtās kritēriju robežvērtības noapaļo līdz tuvākajam tūkstotim.</w:t>
      </w:r>
    </w:p>
    <w:p w:rsidR="00EB231A" w:rsidRDefault="006B7D36">
      <w:pPr>
        <w:numPr>
          <w:ilvl w:val="0"/>
          <w:numId w:val="20"/>
        </w:numPr>
        <w:ind w:firstLine="0"/>
      </w:pPr>
      <w:r>
        <w:t> </w:t>
      </w:r>
    </w:p>
    <w:p w:rsidR="00EB231A" w:rsidRDefault="006B7D36">
      <w:pPr>
        <w:pStyle w:val="paragraph"/>
        <w:contextualSpacing w:val="0"/>
      </w:pPr>
      <w:r>
        <w:rPr>
          <w:b/>
        </w:rPr>
        <w:t>21.</w:t>
      </w:r>
      <w:r>
        <w:t xml:space="preserve"> </w:t>
      </w:r>
      <w:r>
        <w:rPr>
          <w:b/>
        </w:rPr>
        <w:t>pants. Obligātā informācija par pārskata par ienākuma nodokļiem sagatavošanas pamatu</w:t>
      </w:r>
    </w:p>
    <w:p w:rsidR="00EB231A" w:rsidRDefault="006B7D36">
      <w:pPr>
        <w:numPr>
          <w:ilvl w:val="0"/>
          <w:numId w:val="21"/>
        </w:numPr>
        <w:ind w:firstLine="706"/>
      </w:pPr>
      <w:r>
        <w:t>Pārskatā par ienākuma nodokļiem obligā</w:t>
      </w:r>
      <w:r>
        <w:t>ti jānorāda, vai šis pārskats sagatavots saskaņā ar šā likuma 15.pantā un 16.panta pirmajā daļā ietvertajiem noteikumiem vai tas sagatavots saskaņā ar šā likuma 16.panta otro daļu.</w:t>
      </w:r>
    </w:p>
    <w:p w:rsidR="00EB231A" w:rsidRDefault="006B7D36">
      <w:pPr>
        <w:numPr>
          <w:ilvl w:val="0"/>
          <w:numId w:val="21"/>
        </w:numPr>
        <w:ind w:firstLine="0"/>
      </w:pPr>
      <w:r>
        <w:t> </w:t>
      </w:r>
    </w:p>
    <w:p w:rsidR="00EB231A" w:rsidRDefault="006B7D36">
      <w:pPr>
        <w:pStyle w:val="paragraphheader"/>
        <w:contextualSpacing w:val="0"/>
        <w:jc w:val="center"/>
        <w:rPr>
          <w:b/>
        </w:rPr>
      </w:pPr>
      <w:r>
        <w:rPr>
          <w:b/>
        </w:rPr>
        <w:t>V</w:t>
      </w:r>
      <w:r>
        <w:t xml:space="preserve"> </w:t>
      </w:r>
      <w:r>
        <w:rPr>
          <w:b/>
        </w:rPr>
        <w:t>nodaļa</w:t>
      </w:r>
      <w:r>
        <w:br/>
      </w:r>
      <w:r>
        <w:rPr>
          <w:b/>
        </w:rPr>
        <w:t>Pārskata par ienākuma nodokļiem parakstīšana, iesniegšana, publi</w:t>
      </w:r>
      <w:r>
        <w:rPr>
          <w:b/>
        </w:rPr>
        <w:t>skošana un tā pārbaude</w:t>
      </w:r>
    </w:p>
    <w:p w:rsidR="00EB231A" w:rsidRDefault="006B7D36">
      <w:pPr>
        <w:pStyle w:val="paragraph"/>
        <w:contextualSpacing w:val="0"/>
      </w:pPr>
      <w:r>
        <w:rPr>
          <w:b/>
        </w:rPr>
        <w:t>22.</w:t>
      </w:r>
      <w:r>
        <w:t xml:space="preserve"> </w:t>
      </w:r>
      <w:r>
        <w:rPr>
          <w:b/>
        </w:rPr>
        <w:t>pants. Pārskata par ienākuma nodokļiem parakstīšana</w:t>
      </w:r>
    </w:p>
    <w:p w:rsidR="00EB231A" w:rsidRDefault="006B7D36">
      <w:pPr>
        <w:numPr>
          <w:ilvl w:val="0"/>
          <w:numId w:val="22"/>
        </w:numPr>
        <w:ind w:firstLine="706"/>
      </w:pPr>
      <w:r>
        <w:t>(1) Pārskatu par ienākuma nodokļiem elektroniski paraksta tās komercsabiedrības vadība, kura sagatavojusi attiecīgo pārskatu:</w:t>
      </w:r>
    </w:p>
    <w:p w:rsidR="00EB231A" w:rsidRDefault="006B7D36">
      <w:pPr>
        <w:numPr>
          <w:ilvl w:val="0"/>
          <w:numId w:val="22"/>
        </w:numPr>
        <w:ind w:firstLine="0"/>
      </w:pPr>
      <w:r>
        <w:t>1) personālsabiedrībā — visi šīs sabiedrības biedri vai tie biedri, kuri ir īpaši pilnvaroti pārstāvēt šo sabiedrību;</w:t>
      </w:r>
    </w:p>
    <w:p w:rsidR="00EB231A" w:rsidRDefault="006B7D36">
      <w:pPr>
        <w:numPr>
          <w:ilvl w:val="0"/>
          <w:numId w:val="22"/>
        </w:numPr>
        <w:ind w:firstLine="0"/>
      </w:pPr>
      <w:r>
        <w:t>2) kapitālsabiedrībā — valde.</w:t>
      </w:r>
    </w:p>
    <w:p w:rsidR="00EB231A" w:rsidRDefault="006B7D36">
      <w:pPr>
        <w:numPr>
          <w:ilvl w:val="0"/>
          <w:numId w:val="22"/>
        </w:numPr>
        <w:ind w:firstLine="0"/>
      </w:pPr>
      <w:r>
        <w:t> </w:t>
      </w:r>
    </w:p>
    <w:p w:rsidR="00EB231A" w:rsidRDefault="006B7D36">
      <w:pPr>
        <w:numPr>
          <w:ilvl w:val="0"/>
          <w:numId w:val="22"/>
        </w:numPr>
        <w:ind w:firstLine="706"/>
      </w:pPr>
      <w:r>
        <w:t>(2) Ja pārskatu par ienākuma nodokļiem sagatavojusi filiāle, tad šo pārskatu elektroniski paraksta persona</w:t>
      </w:r>
      <w:r>
        <w:t xml:space="preserve"> vai personas, kuras pilnvarotas pārstāvēt attiecīgo Eiropas Savienības dalībvalsts vai trešās valsts  komercsabiedrību darbībās, kas saistītas ar filiāli.</w:t>
      </w:r>
    </w:p>
    <w:p w:rsidR="00EB231A" w:rsidRDefault="006B7D36">
      <w:pPr>
        <w:numPr>
          <w:ilvl w:val="0"/>
          <w:numId w:val="22"/>
        </w:numPr>
        <w:ind w:firstLine="0"/>
      </w:pPr>
      <w:r>
        <w:t> </w:t>
      </w:r>
    </w:p>
    <w:p w:rsidR="00EB231A" w:rsidRDefault="006B7D36">
      <w:pPr>
        <w:numPr>
          <w:ilvl w:val="0"/>
          <w:numId w:val="22"/>
        </w:numPr>
        <w:ind w:firstLine="706"/>
      </w:pPr>
      <w:r>
        <w:t xml:space="preserve">(3) Ja </w:t>
      </w:r>
      <w:proofErr w:type="spellStart"/>
      <w:r>
        <w:t>meitassabiedrība</w:t>
      </w:r>
      <w:proofErr w:type="spellEnd"/>
      <w:r>
        <w:t xml:space="preserve"> vai filiāle saņēmusi iesniegšanai un publiskošanai attiecīgi vai nu attiec</w:t>
      </w:r>
      <w:r>
        <w:t xml:space="preserve">īgās starptautiskā koncerna (grupas) galvenās </w:t>
      </w:r>
      <w:proofErr w:type="spellStart"/>
      <w:r>
        <w:t>mātessabiedrības</w:t>
      </w:r>
      <w:proofErr w:type="spellEnd"/>
      <w:r>
        <w:t>, kas nav Latvijas Republikā reģistrēta komercsabiedrība, vai attiecīgās atsevišķās komercsabiedrības, kas nav Latvijas Republikā reģistrēta komercsabiedrība, sagatavoto pārskatu par ienākuma no</w:t>
      </w:r>
      <w:r>
        <w:t>dokļiem, tad attiecīgās šā panta pirmajā vai otrajā daļā minētās personas pārliecinās par iesniedzamā un publiskojamā pārskata datu autentiskumu un to elektroniski apliecina.</w:t>
      </w:r>
    </w:p>
    <w:p w:rsidR="00EB231A" w:rsidRDefault="006B7D36">
      <w:pPr>
        <w:pStyle w:val="paragraph"/>
        <w:contextualSpacing w:val="0"/>
      </w:pPr>
      <w:r>
        <w:rPr>
          <w:b/>
        </w:rPr>
        <w:t>23.</w:t>
      </w:r>
      <w:r>
        <w:t xml:space="preserve"> </w:t>
      </w:r>
      <w:r>
        <w:rPr>
          <w:b/>
        </w:rPr>
        <w:t>pants. Pārskata par ienākuma nodokļiem iesniegšana un publicēšana</w:t>
      </w:r>
    </w:p>
    <w:p w:rsidR="00EB231A" w:rsidRDefault="006B7D36">
      <w:pPr>
        <w:numPr>
          <w:ilvl w:val="0"/>
          <w:numId w:val="23"/>
        </w:numPr>
        <w:ind w:firstLine="706"/>
      </w:pPr>
      <w:r>
        <w:t>(1) Pārskat</w:t>
      </w:r>
      <w:r>
        <w:t xml:space="preserve">u par ienākuma nodokļiem un, attiecīgā gadījumā, </w:t>
      </w:r>
      <w:proofErr w:type="spellStart"/>
      <w:r>
        <w:t>meitassabiedrības</w:t>
      </w:r>
      <w:proofErr w:type="spellEnd"/>
      <w:r>
        <w:t xml:space="preserve"> paziņojumu vai filiāles paziņojumu ne vēlāk kā 12 mēnešus pēc pārskata gada beigām elektroniski iesniedz Valsts ieņēmumu dienestā (elektroniskās deklarēšanas sistēmā).</w:t>
      </w:r>
    </w:p>
    <w:p w:rsidR="00EB231A" w:rsidRDefault="006B7D36">
      <w:pPr>
        <w:numPr>
          <w:ilvl w:val="0"/>
          <w:numId w:val="23"/>
        </w:numPr>
        <w:ind w:firstLine="706"/>
      </w:pPr>
      <w:r>
        <w:t>(2) Valsts ieņēmumu d</w:t>
      </w:r>
      <w:r>
        <w:t>ienests ne vēlāk kā piecu darbdienu laikā elektroniski nodod Latvijas Republikas Uzņēmumu reģistram (turpmāk — Uzņēmumu reģistrs) šā panta pirmajā daļā minētos dokumentus. Dokumentus Uzņēmumu reģistram nodod tiešsaistes datu pārraides režīmā.</w:t>
      </w:r>
    </w:p>
    <w:p w:rsidR="00EB231A" w:rsidRDefault="006B7D36">
      <w:pPr>
        <w:numPr>
          <w:ilvl w:val="0"/>
          <w:numId w:val="23"/>
        </w:numPr>
        <w:ind w:firstLine="0"/>
      </w:pPr>
      <w:r>
        <w:t> </w:t>
      </w:r>
    </w:p>
    <w:p w:rsidR="00EB231A" w:rsidRDefault="006B7D36">
      <w:pPr>
        <w:numPr>
          <w:ilvl w:val="0"/>
          <w:numId w:val="23"/>
        </w:numPr>
        <w:ind w:firstLine="706"/>
      </w:pPr>
      <w:r>
        <w:t>(3) Uzņēmum</w:t>
      </w:r>
      <w:r>
        <w:t>u reģistrs pēc šā panta pirmajā daļā minēto dokumentu saņemšanas publisko tos savā tīmekļvietnē.</w:t>
      </w:r>
    </w:p>
    <w:p w:rsidR="00EB231A" w:rsidRDefault="006B7D36">
      <w:pPr>
        <w:numPr>
          <w:ilvl w:val="0"/>
          <w:numId w:val="23"/>
        </w:numPr>
        <w:ind w:firstLine="0"/>
      </w:pPr>
      <w:r>
        <w:t> </w:t>
      </w:r>
    </w:p>
    <w:p w:rsidR="00EB231A" w:rsidRDefault="006B7D36">
      <w:pPr>
        <w:numPr>
          <w:ilvl w:val="0"/>
          <w:numId w:val="23"/>
        </w:numPr>
        <w:ind w:firstLine="706"/>
      </w:pPr>
      <w:r>
        <w:t>(4) Pārskatam par ienākuma nodokļiem, ko iesniedz šā panta pirmajā daļā noteiktajā kārtībā, jābūt sagatavotam latviešu valodā vai tulkotam latviešu valodā (j</w:t>
      </w:r>
      <w:r>
        <w:t xml:space="preserve">a </w:t>
      </w:r>
      <w:proofErr w:type="spellStart"/>
      <w:r>
        <w:t>meitassabiedrība</w:t>
      </w:r>
      <w:proofErr w:type="spellEnd"/>
      <w:r>
        <w:t xml:space="preserve"> vai filiāle saņēmusi iesniegšanai un publiskošanai vai nu attiecīgās starptautiskā koncerna (grupas) galvenās </w:t>
      </w:r>
      <w:proofErr w:type="spellStart"/>
      <w:r>
        <w:t>mātessabiedrības</w:t>
      </w:r>
      <w:proofErr w:type="spellEnd"/>
      <w:r>
        <w:t xml:space="preserve">, kas nav Latvijas Republikā reģistrēta komercsabiedrība, vai attiecīgās atsevišķās komercsabiedrības, kas nav </w:t>
      </w:r>
      <w:r>
        <w:t>Latvijas Republikā reģistrēta komercsabiedrība, sagatavoto pārskatu par ienākuma nodokļiem un tas nav sagatavots latviešu valodā).</w:t>
      </w:r>
    </w:p>
    <w:p w:rsidR="00EB231A" w:rsidRDefault="006B7D36">
      <w:pPr>
        <w:numPr>
          <w:ilvl w:val="0"/>
          <w:numId w:val="23"/>
        </w:numPr>
        <w:ind w:firstLine="0"/>
      </w:pPr>
      <w:r>
        <w:t> </w:t>
      </w:r>
    </w:p>
    <w:p w:rsidR="00EB231A" w:rsidRDefault="006B7D36">
      <w:pPr>
        <w:numPr>
          <w:ilvl w:val="0"/>
          <w:numId w:val="23"/>
        </w:numPr>
        <w:ind w:firstLine="706"/>
      </w:pPr>
      <w:r>
        <w:t xml:space="preserve">(5) Pārskatā par ienākuma nodokļiem un attiecīgā gadījumā </w:t>
      </w:r>
      <w:proofErr w:type="spellStart"/>
      <w:r>
        <w:t>meitassabiedrības</w:t>
      </w:r>
      <w:proofErr w:type="spellEnd"/>
      <w:r>
        <w:t xml:space="preserve"> paziņojumā vai filiāles paziņojumā norāda ziņas</w:t>
      </w:r>
      <w:r>
        <w:t xml:space="preserve"> par šā likuma  24.pantā noteikto pārskata par ienākuma nodokļiem vai, attiecīgā gadījumā, </w:t>
      </w:r>
      <w:proofErr w:type="spellStart"/>
      <w:r>
        <w:t>meitassabiedrības</w:t>
      </w:r>
      <w:proofErr w:type="spellEnd"/>
      <w:r>
        <w:t xml:space="preserve"> paziņojuma vai filiāles paziņojuma publiskošanas tīmekļvietni.</w:t>
      </w:r>
    </w:p>
    <w:p w:rsidR="00EB231A" w:rsidRDefault="006B7D36">
      <w:pPr>
        <w:numPr>
          <w:ilvl w:val="0"/>
          <w:numId w:val="23"/>
        </w:numPr>
        <w:ind w:firstLine="0"/>
      </w:pPr>
      <w:r>
        <w:t> </w:t>
      </w:r>
    </w:p>
    <w:p w:rsidR="00EB231A" w:rsidRDefault="006B7D36">
      <w:pPr>
        <w:pStyle w:val="paragraph"/>
        <w:contextualSpacing w:val="0"/>
      </w:pPr>
      <w:r>
        <w:rPr>
          <w:b/>
        </w:rPr>
        <w:t>24.</w:t>
      </w:r>
      <w:r>
        <w:t xml:space="preserve"> </w:t>
      </w:r>
      <w:r>
        <w:rPr>
          <w:b/>
        </w:rPr>
        <w:t xml:space="preserve">pants. </w:t>
      </w:r>
      <w:r>
        <w:rPr>
          <w:b/>
        </w:rPr>
        <w:t>Pārskata par ienākuma nodokļiem publiskošana tīmekļvietnē un tās pārbaude</w:t>
      </w:r>
      <w:r>
        <w:br/>
      </w:r>
      <w:r>
        <w:rPr>
          <w:b/>
        </w:rPr>
        <w:t> </w:t>
      </w:r>
    </w:p>
    <w:p w:rsidR="00EB231A" w:rsidRDefault="006B7D36">
      <w:pPr>
        <w:numPr>
          <w:ilvl w:val="0"/>
          <w:numId w:val="24"/>
        </w:numPr>
        <w:ind w:firstLine="706"/>
      </w:pPr>
      <w:r>
        <w:t xml:space="preserve">(1) Papildus šā likuma 23.pantā noteiktajam, pārskatu par ienākuma nodokļiem un, attiecīgā gadījumā, </w:t>
      </w:r>
      <w:proofErr w:type="spellStart"/>
      <w:r>
        <w:t>meitassabiedrības</w:t>
      </w:r>
      <w:proofErr w:type="spellEnd"/>
      <w:r>
        <w:t xml:space="preserve"> paziņojumu vai filiāles paziņojumu, ne vēlāk kā 12 mēnešus pē</w:t>
      </w:r>
      <w:r>
        <w:t>c pārskata gada beigām, bez maksas publisko arī vienā no tālāk minētajām tīmekļvietnēm:</w:t>
      </w:r>
    </w:p>
    <w:p w:rsidR="00EB231A" w:rsidRDefault="006B7D36">
      <w:pPr>
        <w:numPr>
          <w:ilvl w:val="0"/>
          <w:numId w:val="24"/>
        </w:numPr>
        <w:ind w:firstLine="0"/>
      </w:pPr>
      <w:r>
        <w:t xml:space="preserve">1) ja piemēro šā likuma 4. un 5.pantu, - galvenās </w:t>
      </w:r>
      <w:proofErr w:type="spellStart"/>
      <w:r>
        <w:t>mātessabiedrības</w:t>
      </w:r>
      <w:proofErr w:type="spellEnd"/>
      <w:r>
        <w:t xml:space="preserve"> vai atsevišķās komercsabiedrības tīmekļvietnē;</w:t>
      </w:r>
    </w:p>
    <w:p w:rsidR="00EB231A" w:rsidRDefault="006B7D36">
      <w:pPr>
        <w:numPr>
          <w:ilvl w:val="0"/>
          <w:numId w:val="24"/>
        </w:numPr>
        <w:ind w:firstLine="0"/>
      </w:pPr>
      <w:r>
        <w:t xml:space="preserve">2) ja piemēro šā likuma 9. un 10.pantu, – </w:t>
      </w:r>
      <w:proofErr w:type="spellStart"/>
      <w:r>
        <w:t>meitassabied</w:t>
      </w:r>
      <w:r>
        <w:t>rības</w:t>
      </w:r>
      <w:proofErr w:type="spellEnd"/>
      <w:r>
        <w:t xml:space="preserve"> vai tai radniecīgās sabiedrības tīmekļvietnē;</w:t>
      </w:r>
    </w:p>
    <w:p w:rsidR="00EB231A" w:rsidRDefault="006B7D36">
      <w:pPr>
        <w:numPr>
          <w:ilvl w:val="0"/>
          <w:numId w:val="24"/>
        </w:numPr>
        <w:ind w:firstLine="0"/>
      </w:pPr>
      <w:r>
        <w:t>3) ja piemēro šā likuma 12.pantu, – filiāles tīmekļvietnē vai komercsabiedrības, kas atvērusi šo filiāli, vai tai radniecīgās sabiedrības tīmekļvietnē.</w:t>
      </w:r>
    </w:p>
    <w:p w:rsidR="00EB231A" w:rsidRDefault="006B7D36">
      <w:pPr>
        <w:numPr>
          <w:ilvl w:val="0"/>
          <w:numId w:val="24"/>
        </w:numPr>
        <w:ind w:firstLine="0"/>
      </w:pPr>
      <w:r>
        <w:t> </w:t>
      </w:r>
    </w:p>
    <w:p w:rsidR="00EB231A" w:rsidRDefault="006B7D36">
      <w:pPr>
        <w:numPr>
          <w:ilvl w:val="0"/>
          <w:numId w:val="24"/>
        </w:numPr>
        <w:ind w:firstLine="706"/>
      </w:pPr>
      <w:r>
        <w:t xml:space="preserve">(2) </w:t>
      </w:r>
      <w:r>
        <w:t>Atkāpjoties no šā panta pirmajā daļā minētā, ja pārskats par ienākuma nodokļiem šā likuma 23.pantā noteiktajā kārtībā ir iesniegts un publiskots Uzņēmumu reģistra tīmekļvietnē mašīnlasāmā, elektroniskā ziņošanas formātā un tas bez maksas ir pieejams jebkur</w:t>
      </w:r>
      <w:r>
        <w:t xml:space="preserve">ai personai, kas atrodas Eiropas Savienībā, tad attiecīgais šā likuma 24.panta pirmās daļas 1., 2. un 3.punktā minētais subjekts ir atbrīvots no pārskata par ienākuma nodokļiem un, attiecīgā gadījumā, </w:t>
      </w:r>
      <w:proofErr w:type="spellStart"/>
      <w:r>
        <w:t>meitassabiedrības</w:t>
      </w:r>
      <w:proofErr w:type="spellEnd"/>
      <w:r>
        <w:t xml:space="preserve"> paziņojumu vai filiāles paziņojuma pu</w:t>
      </w:r>
      <w:r>
        <w:t>bliskošanas savā tīmekļvietnē. Šādā gadījumā šajā tīmekļvietnē ietver informāciju par minēto atbrīvojumu un atsauci uz Uzņēmumu reģistra tīmekļvietni.</w:t>
      </w:r>
    </w:p>
    <w:p w:rsidR="00EB231A" w:rsidRDefault="006B7D36">
      <w:pPr>
        <w:numPr>
          <w:ilvl w:val="0"/>
          <w:numId w:val="24"/>
        </w:numPr>
        <w:ind w:firstLine="706"/>
      </w:pPr>
      <w:r>
        <w:t xml:space="preserve">(3) Pārskats par ienākuma nodokļiem un, attiecīgā gadījumā, </w:t>
      </w:r>
      <w:proofErr w:type="spellStart"/>
      <w:r>
        <w:t>meitassabiedrības</w:t>
      </w:r>
      <w:proofErr w:type="spellEnd"/>
      <w:r>
        <w:t xml:space="preserve"> paziņojums vai filiāles paz</w:t>
      </w:r>
      <w:r>
        <w:t>iņojums šā panta pirmajā daļā minētajā tīmekļvietnē ir bez maksas publiski pieejams vismaz piecu gadu laikā no dienas, kad tas tur ievietots.</w:t>
      </w:r>
    </w:p>
    <w:p w:rsidR="00EB231A" w:rsidRDefault="006B7D36">
      <w:pPr>
        <w:numPr>
          <w:ilvl w:val="0"/>
          <w:numId w:val="24"/>
        </w:numPr>
        <w:ind w:firstLine="706"/>
      </w:pPr>
      <w:r>
        <w:t xml:space="preserve">(4) Valsts ieņēmumu dienests pārbauda, vai pārskats par ienākuma nodokļiem vai </w:t>
      </w:r>
      <w:proofErr w:type="spellStart"/>
      <w:r>
        <w:t>meitassabiedrības</w:t>
      </w:r>
      <w:proofErr w:type="spellEnd"/>
      <w:r>
        <w:t xml:space="preserve"> paziņojums vai fi</w:t>
      </w:r>
      <w:r>
        <w:t>liāles paziņojums, vai arī informācija par publiskošanas atbrīvojumu, ir publiskots tīmekļvietnē šajā pantā noteiktajā kārtībā.</w:t>
      </w:r>
    </w:p>
    <w:p w:rsidR="00EB231A" w:rsidRDefault="006B7D36">
      <w:pPr>
        <w:numPr>
          <w:ilvl w:val="0"/>
          <w:numId w:val="24"/>
        </w:numPr>
        <w:ind w:firstLine="0"/>
      </w:pPr>
      <w:r>
        <w:t> </w:t>
      </w:r>
    </w:p>
    <w:p w:rsidR="00EB231A" w:rsidRDefault="006B7D36">
      <w:pPr>
        <w:numPr>
          <w:ilvl w:val="0"/>
          <w:numId w:val="24"/>
        </w:numPr>
        <w:ind w:firstLine="706"/>
      </w:pPr>
      <w:r>
        <w:t>(5) Valsts ieņēmumu dienests, konstatējot šajā pantā noteikto prasību pārkāpumu, var noteikt pienākumu noteiktā termiņā publis</w:t>
      </w:r>
      <w:r>
        <w:t xml:space="preserve">kot pārskatu par ienākuma nodokļiem vai </w:t>
      </w:r>
      <w:proofErr w:type="spellStart"/>
      <w:r>
        <w:t>meitassabiedrības</w:t>
      </w:r>
      <w:proofErr w:type="spellEnd"/>
      <w:r>
        <w:t xml:space="preserve"> paziņojumu vai filiāles paziņojumu, vai arī informāciju par publiskošanas atbrīvojumu.</w:t>
      </w:r>
    </w:p>
    <w:p w:rsidR="00EB231A" w:rsidRDefault="00EB231A">
      <w:pPr>
        <w:numPr>
          <w:ilvl w:val="0"/>
          <w:numId w:val="24"/>
        </w:numPr>
        <w:ind w:firstLine="0"/>
      </w:pPr>
    </w:p>
    <w:p w:rsidR="00EB231A" w:rsidRDefault="006B7D36">
      <w:pPr>
        <w:numPr>
          <w:ilvl w:val="0"/>
          <w:numId w:val="24"/>
        </w:numPr>
        <w:ind w:firstLine="0"/>
      </w:pPr>
      <w:r>
        <w:t> </w:t>
      </w:r>
    </w:p>
    <w:p w:rsidR="00EB231A" w:rsidRDefault="006B7D36">
      <w:pPr>
        <w:pStyle w:val="paragraph"/>
        <w:contextualSpacing w:val="0"/>
      </w:pPr>
      <w:r>
        <w:rPr>
          <w:b/>
        </w:rPr>
        <w:t>25.</w:t>
      </w:r>
      <w:r>
        <w:t xml:space="preserve"> </w:t>
      </w:r>
      <w:r>
        <w:rPr>
          <w:b/>
        </w:rPr>
        <w:t>pants. Par pārskata par ienākuma nodokļiem sagatavošanu, iesniegšanu un publiskošanu tīmekļvietnē atbild</w:t>
      </w:r>
      <w:r>
        <w:rPr>
          <w:b/>
        </w:rPr>
        <w:t>īgās personas</w:t>
      </w:r>
      <w:r>
        <w:br/>
      </w:r>
      <w:r>
        <w:rPr>
          <w:b/>
        </w:rPr>
        <w:t> </w:t>
      </w:r>
    </w:p>
    <w:p w:rsidR="00EB231A" w:rsidRDefault="006B7D36">
      <w:pPr>
        <w:numPr>
          <w:ilvl w:val="0"/>
          <w:numId w:val="25"/>
        </w:numPr>
        <w:ind w:firstLine="706"/>
      </w:pPr>
      <w:r>
        <w:t xml:space="preserve">(1) Par pārskata par ienākuma nodokļiem sagatavošanu, iesniegšanu šā likuma 23.pantā noteiktajā kārtībā un publiskošanu tīmekļvietnē šā likuma 24.pantā noteiktajā kārtībā ir atbildīgi galvenās </w:t>
      </w:r>
      <w:proofErr w:type="spellStart"/>
      <w:r>
        <w:t>mātessabiedrības</w:t>
      </w:r>
      <w:proofErr w:type="spellEnd"/>
      <w:r>
        <w:t xml:space="preserve"> un atsevišķās komercsabiedrība</w:t>
      </w:r>
      <w:r>
        <w:t>s (akciju sabiedrības, sabiedrības ar ierobežotu atbildību) valdes un padomes (ja ir izveidota padome) locekļi.</w:t>
      </w:r>
    </w:p>
    <w:p w:rsidR="00EB231A" w:rsidRDefault="006B7D36">
      <w:pPr>
        <w:numPr>
          <w:ilvl w:val="0"/>
          <w:numId w:val="25"/>
        </w:numPr>
        <w:ind w:firstLine="706"/>
      </w:pPr>
      <w:r>
        <w:t xml:space="preserve">(2) Ja galvenā </w:t>
      </w:r>
      <w:proofErr w:type="spellStart"/>
      <w:r>
        <w:t>mātessabiedrība</w:t>
      </w:r>
      <w:proofErr w:type="spellEnd"/>
      <w:r>
        <w:t xml:space="preserve"> vai atsevišķā komercsabiedrība ir personālsabiedrība (pilnsabiedrība, komandītsabiedrība), par pārskata par ienāk</w:t>
      </w:r>
      <w:r>
        <w:t>uma nodokļiem sagatavošanu, iesniegšanu šā likuma 23.pantā noteiktajā kārtībā un publiskošanu tīmekļvietnē šā likuma 24.pantā noteiktajā kārtībā ir atbildīgi visi šīs personālsabiedrības biedri vai tie biedri, kuri ir īpaši pilnvaroti pārstāvēt šo sabiedrī</w:t>
      </w:r>
      <w:r>
        <w:t>bu.</w:t>
      </w:r>
    </w:p>
    <w:p w:rsidR="00EB231A" w:rsidRDefault="006B7D36">
      <w:pPr>
        <w:numPr>
          <w:ilvl w:val="0"/>
          <w:numId w:val="25"/>
        </w:numPr>
        <w:ind w:firstLine="706"/>
      </w:pPr>
      <w:r>
        <w:t xml:space="preserve">(3) Par starptautiskā koncerna (grupas) galvenās </w:t>
      </w:r>
      <w:proofErr w:type="spellStart"/>
      <w:r>
        <w:t>mātessabiedrības</w:t>
      </w:r>
      <w:proofErr w:type="spellEnd"/>
      <w:r>
        <w:t xml:space="preserve">, kas nav Latvijas Republikā reģistrēta komercsabiedrība, pārskata par ienākuma nodokļiem un, attiecīgā gadījumā, </w:t>
      </w:r>
      <w:proofErr w:type="spellStart"/>
      <w:r>
        <w:t>meitassabiedrības</w:t>
      </w:r>
      <w:proofErr w:type="spellEnd"/>
      <w:r>
        <w:t xml:space="preserve"> paziņojuma sagatavošanu, iesniegšanu šā likuma 23.pantā</w:t>
      </w:r>
      <w:r>
        <w:t xml:space="preserve"> noteiktajā kārtībā un publiskošanu tīmekļvietnē šā likuma 24.pantā noteiktajā kārtībā atbilstoši to rīcībā esošām zināšanām un prasmēm ir atbildīgi </w:t>
      </w:r>
      <w:proofErr w:type="spellStart"/>
      <w:r>
        <w:t>meitassabiedrības</w:t>
      </w:r>
      <w:proofErr w:type="spellEnd"/>
      <w:r>
        <w:t xml:space="preserve"> (akciju sabiedrības, sabiedrības ar ierobežotu atbildību) valdes un padomes (ja ir izveid</w:t>
      </w:r>
      <w:r>
        <w:t>ota padome) locekļi.</w:t>
      </w:r>
    </w:p>
    <w:p w:rsidR="00EB231A" w:rsidRDefault="006B7D36">
      <w:pPr>
        <w:numPr>
          <w:ilvl w:val="0"/>
          <w:numId w:val="25"/>
        </w:numPr>
        <w:ind w:firstLine="706"/>
      </w:pPr>
      <w:r>
        <w:t xml:space="preserve">(4) Par atsevišķās komercsabiedrības, kas nav Latvijas Republikā reģistrēta komercsabiedrība, vai starptautiskā koncerna (grupas) galvenās </w:t>
      </w:r>
      <w:proofErr w:type="spellStart"/>
      <w:r>
        <w:t>mātessabiedrības</w:t>
      </w:r>
      <w:proofErr w:type="spellEnd"/>
      <w:r>
        <w:t xml:space="preserve">, kas nav Latvijas Republikā reģistrēta komercsabiedrība, pārskata par ienākuma </w:t>
      </w:r>
      <w:r>
        <w:t>nodokļiem un, attiecīgā gadījumā, filiāles paziņojuma sagatavošanu, iesniegšanu šā likuma 23.pantā noteiktajā kārtībā un publiskošanu tīmekļvietnē šā likuma 24.pantā noteiktajā kārtībā atbilstoši to rīcībā esošām zināšanām un prasmēm ir atbildīga persona v</w:t>
      </w:r>
      <w:r>
        <w:t>ai personas, kuras pilnvarotas pārstāvēt Eiropas Savienības dalībvalsts kapitālsabiedrību, komersantu (ārvalsts komersantu) darbībās, kas saistītas ar filiāli.</w:t>
      </w:r>
    </w:p>
    <w:p w:rsidR="00EB231A" w:rsidRDefault="006B7D36">
      <w:pPr>
        <w:pStyle w:val="paragraph"/>
        <w:contextualSpacing w:val="0"/>
      </w:pPr>
      <w:r>
        <w:rPr>
          <w:b/>
        </w:rPr>
        <w:t>26.</w:t>
      </w:r>
      <w:r>
        <w:t xml:space="preserve"> </w:t>
      </w:r>
      <w:r>
        <w:rPr>
          <w:b/>
        </w:rPr>
        <w:t>pants. Zvērināta revidenta vai zvērinātu revidentu komercsabiedrības veikta pārbaude un pazi</w:t>
      </w:r>
      <w:r>
        <w:rPr>
          <w:b/>
        </w:rPr>
        <w:t>ņojums par tās rezultātiem</w:t>
      </w:r>
      <w:r>
        <w:br/>
      </w:r>
      <w:r>
        <w:rPr>
          <w:b/>
        </w:rPr>
        <w:t> </w:t>
      </w:r>
    </w:p>
    <w:p w:rsidR="00EB231A" w:rsidRDefault="006B7D36">
      <w:pPr>
        <w:numPr>
          <w:ilvl w:val="0"/>
          <w:numId w:val="26"/>
        </w:numPr>
        <w:ind w:firstLine="706"/>
      </w:pPr>
      <w:r>
        <w:t>(1) Zvērināts revidents vai zvērinātu revidentu komercsabiedrība (turpmāk – zvērināts revidents) pārbauda un revidenta ziņojumā (Revīzijas pakalpojumu likuma izpratnē) informē, vai par to pārskata gadu, kas bija pirms attiecīgā</w:t>
      </w:r>
      <w:r>
        <w:t xml:space="preserve"> pārskata gada, par kuru sagatavots revidējamais gada pārskats, šajā likumā minētai komercsabiedrībai, kura saskaņā ar Gada pārskatu un konsolidēto gada pārskatu likuma 5.panta ceturto un piekto daļu ir vidēja vai liela sabiedrība, bija pienākums iesniegt </w:t>
      </w:r>
      <w:r>
        <w:t>pārskatu par ienākuma nodokļiem un, ja bija, vai šis pārskats bija iesniegts Valsts ieņēmumu dienestā atbilstoši šā likuma 23.panta prasībām un vai bija publiskots tīmekļvietnē atbilstoši šā likuma 24.panta prasībām.</w:t>
      </w:r>
    </w:p>
    <w:p w:rsidR="00EB231A" w:rsidRDefault="006B7D36">
      <w:pPr>
        <w:numPr>
          <w:ilvl w:val="0"/>
          <w:numId w:val="26"/>
        </w:numPr>
        <w:ind w:firstLine="706"/>
      </w:pPr>
      <w:r>
        <w:t>(2) Ja attiecīgajai komercsabiedrībai b</w:t>
      </w:r>
      <w:r>
        <w:t>ija pienākums iesniegt pārskatu par ienākuma nodokļiem Valsts ieņēmumu dienestā atbilstoši šā likuma 23.panta prasībām, atbildīgā persona nodrošina zvērinātam revidentam iespēju pārliecināties par to, vai šis pārskats tika atbilstoši iesniegts.</w:t>
      </w:r>
    </w:p>
    <w:p w:rsidR="00EB231A" w:rsidRDefault="006B7D36">
      <w:pPr>
        <w:numPr>
          <w:ilvl w:val="0"/>
          <w:numId w:val="26"/>
        </w:numPr>
        <w:ind w:firstLine="706"/>
      </w:pPr>
      <w:r>
        <w:t>(3) Šā pant</w:t>
      </w:r>
      <w:r>
        <w:t>a pirmajā daļā minētās vidējās vai lielās komercsabiedrības par pārskata par ienākuma nodokļiem sagatavošanu, iesniegšanu un publiskošanu tīmekļvietnē atbildīgās personas (turpmāk šajā pantā – atbildīgā persona) sniedz zvērinātam revidentam visu nepiecieša</w:t>
      </w:r>
      <w:r>
        <w:t>mo informāciju, lai zvērināts revidents varētu izpildīt tam šajā pantā uzlikto pārbaudes un ziņošanas pienākumu. Atbildīgā persona zvērinātam revidentam sniedz vismaz šādu informāciju:</w:t>
      </w:r>
    </w:p>
    <w:p w:rsidR="00EB231A" w:rsidRDefault="006B7D36">
      <w:pPr>
        <w:numPr>
          <w:ilvl w:val="0"/>
          <w:numId w:val="26"/>
        </w:numPr>
        <w:ind w:firstLine="0"/>
      </w:pPr>
      <w:r>
        <w:t>1) ziņas par šīs komercsabiedrības radniecīgām sabiedrībām un filiālēm,</w:t>
      </w:r>
      <w:r>
        <w:t xml:space="preserve"> kas reģistrētas ārvalstīs (nosaukums, adrese un reģistrācijas numurs);</w:t>
      </w:r>
    </w:p>
    <w:p w:rsidR="00EB231A" w:rsidRDefault="006B7D36">
      <w:pPr>
        <w:numPr>
          <w:ilvl w:val="0"/>
          <w:numId w:val="26"/>
        </w:numPr>
        <w:ind w:firstLine="0"/>
      </w:pPr>
      <w:r>
        <w:t xml:space="preserve">2) par koncerna (grupas) konsolidēto neto apgrozījumu par iepriekšējiem diviem pārskata gadiem, ja zvērināta revidenta pārbaudei pakļautā komercsabiedrība ir galvenā </w:t>
      </w:r>
      <w:proofErr w:type="spellStart"/>
      <w:r>
        <w:t>mātessabiedrība</w:t>
      </w:r>
      <w:proofErr w:type="spellEnd"/>
      <w:r>
        <w:t>;</w:t>
      </w:r>
    </w:p>
    <w:p w:rsidR="00EB231A" w:rsidRDefault="006B7D36">
      <w:pPr>
        <w:numPr>
          <w:ilvl w:val="0"/>
          <w:numId w:val="26"/>
        </w:numPr>
        <w:ind w:firstLine="0"/>
      </w:pPr>
      <w:r>
        <w:t>3</w:t>
      </w:r>
      <w:r>
        <w:t xml:space="preserve">) par starptautiskā koncerna (grupas), kuras radniecīgā sabiedrība ir </w:t>
      </w:r>
      <w:proofErr w:type="spellStart"/>
      <w:r>
        <w:t>meitassabiedrība</w:t>
      </w:r>
      <w:proofErr w:type="spellEnd"/>
      <w:r>
        <w:t xml:space="preserve">, galvenās </w:t>
      </w:r>
      <w:proofErr w:type="spellStart"/>
      <w:r>
        <w:t>mātessabiedrības</w:t>
      </w:r>
      <w:proofErr w:type="spellEnd"/>
      <w:r>
        <w:t xml:space="preserve"> sagatavotā konsolidētā finanšu pārskata datiem (pārskata par ienākuma nodokļa informāciju saturs) par diviem pēdējiem pārskata gadiem, ja zvēr</w:t>
      </w:r>
      <w:r>
        <w:t xml:space="preserve">ināta revidenta pārbaudei pakļautā komercsabiedrība ir </w:t>
      </w:r>
      <w:proofErr w:type="spellStart"/>
      <w:r>
        <w:t>meitassabiedrība</w:t>
      </w:r>
      <w:proofErr w:type="spellEnd"/>
      <w:r>
        <w:t>.</w:t>
      </w:r>
    </w:p>
    <w:p w:rsidR="00EB231A" w:rsidRDefault="006B7D36">
      <w:pPr>
        <w:numPr>
          <w:ilvl w:val="0"/>
          <w:numId w:val="26"/>
        </w:numPr>
        <w:ind w:firstLine="0"/>
      </w:pPr>
      <w:r>
        <w:t> </w:t>
      </w:r>
    </w:p>
    <w:p w:rsidR="00EB231A" w:rsidRDefault="006B7D36">
      <w:pPr>
        <w:pStyle w:val="paragraphheader"/>
        <w:contextualSpacing w:val="0"/>
        <w:jc w:val="center"/>
        <w:rPr>
          <w:b/>
        </w:rPr>
      </w:pPr>
      <w:r>
        <w:rPr>
          <w:b/>
        </w:rPr>
        <w:t>Pārejas noteikums</w:t>
      </w:r>
    </w:p>
    <w:p w:rsidR="00EB231A" w:rsidRDefault="006B7D36">
      <w:pPr>
        <w:numPr>
          <w:ilvl w:val="0"/>
          <w:numId w:val="27"/>
        </w:numPr>
        <w:ind w:firstLine="706"/>
      </w:pPr>
      <w:r>
        <w:t>Šā likuma noteikumus piemēro, sākot ar pārskata gadu, kurš sākas 2024. gada 22. jūnijā vai vēlāk.</w:t>
      </w:r>
    </w:p>
    <w:p w:rsidR="00EB231A" w:rsidRDefault="006B7D36">
      <w:pPr>
        <w:spacing w:before="240"/>
        <w:jc w:val="center"/>
        <w:rPr>
          <w:b/>
        </w:rPr>
      </w:pPr>
      <w:r>
        <w:rPr>
          <w:b/>
        </w:rPr>
        <w:t>Informatīva atsauce uz Eiropas Savienības direktīvu</w:t>
      </w:r>
    </w:p>
    <w:p w:rsidR="00EB231A" w:rsidRDefault="006B7D36">
      <w:pPr>
        <w:numPr>
          <w:ilvl w:val="0"/>
          <w:numId w:val="28"/>
        </w:numPr>
        <w:ind w:firstLine="706"/>
      </w:pPr>
      <w:r>
        <w:t>Likumā iekļautas tiesību normas, kas izriet no Eiropas Parlamenta un Padomes 2021. gada 24. novembra direktīvas (ES) 2021/2101, ar ko Direktīvu 2013/34/ES groza attiecībā uz ienākuma nodokļa informācijas atklāšanu, ko veic konkrēti uzņēmumi un filiāles.</w:t>
      </w:r>
    </w:p>
    <w:p w:rsidR="00EB231A" w:rsidRDefault="006B7D36">
      <w:pPr>
        <w:pStyle w:val="paragraph"/>
        <w:contextualSpacing w:val="0"/>
      </w:pPr>
      <w:r>
        <w:t>Li</w:t>
      </w:r>
      <w:r>
        <w:t>kums stājas spēkā 2023.gada 22.jūnijā.</w:t>
      </w:r>
    </w:p>
    <w:p w:rsidR="00EB231A" w:rsidRDefault="00EB231A">
      <w:pPr>
        <w:spacing w:before="480"/>
      </w:pPr>
    </w:p>
    <w:tbl>
      <w:tblPr>
        <w:tblStyle w:val="a"/>
        <w:tblW w:w="9642" w:type="dxa"/>
        <w:tblInd w:w="0" w:type="dxa"/>
        <w:tblLayout w:type="fixed"/>
        <w:tblCellMar>
          <w:top w:w="0" w:type="dxa"/>
          <w:left w:w="0" w:type="dxa"/>
          <w:bottom w:w="0" w:type="dxa"/>
          <w:right w:w="0" w:type="dxa"/>
        </w:tblCellMar>
        <w:tblLook w:val="0600" w:firstRow="0" w:lastRow="0" w:firstColumn="0" w:lastColumn="0" w:noHBand="1" w:noVBand="1"/>
      </w:tblPr>
      <w:tblGrid>
        <w:gridCol w:w="2721"/>
        <w:gridCol w:w="4200"/>
        <w:gridCol w:w="2721"/>
      </w:tblGrid>
      <w:tr w:rsidR="00EB231A">
        <w:tblPrEx>
          <w:tblCellMar>
            <w:top w:w="0" w:type="dxa"/>
            <w:left w:w="0" w:type="dxa"/>
            <w:bottom w:w="0" w:type="dxa"/>
            <w:right w:w="0" w:type="dxa"/>
          </w:tblCellMar>
        </w:tblPrEx>
        <w:tc>
          <w:tcPr>
            <w:tcW w:w="2721" w:type="dxa"/>
            <w:shd w:val="clear" w:color="auto" w:fill="FFFFFF"/>
            <w:noWrap/>
            <w:tcMar>
              <w:top w:w="0" w:type="dxa"/>
              <w:left w:w="0" w:type="dxa"/>
              <w:bottom w:w="0" w:type="dxa"/>
              <w:right w:w="0" w:type="dxa"/>
            </w:tcMar>
            <w:vAlign w:val="center"/>
          </w:tcPr>
          <w:p w:rsidR="00EB231A" w:rsidRDefault="006B7D36">
            <w:pPr>
              <w:jc w:val="left"/>
            </w:pPr>
            <w:r>
              <w:t>Ministrs</w:t>
            </w:r>
          </w:p>
        </w:tc>
        <w:tc>
          <w:tcPr>
            <w:tcW w:w="4200" w:type="dxa"/>
            <w:shd w:val="clear" w:color="auto" w:fill="FFFFFF"/>
            <w:noWrap/>
            <w:tcMar>
              <w:top w:w="0" w:type="dxa"/>
              <w:left w:w="0" w:type="dxa"/>
              <w:bottom w:w="0" w:type="dxa"/>
              <w:right w:w="0" w:type="dxa"/>
            </w:tcMar>
            <w:vAlign w:val="center"/>
          </w:tcPr>
          <w:p w:rsidR="00EB231A" w:rsidRDefault="006B7D36">
            <w:pPr>
              <w:jc w:val="center"/>
            </w:pPr>
            <w:r>
              <w:rPr>
                <w:sz w:val="24"/>
              </w:rPr>
              <w:t>(paraksts*)</w:t>
            </w:r>
          </w:p>
        </w:tc>
        <w:tc>
          <w:tcPr>
            <w:tcW w:w="2721" w:type="dxa"/>
            <w:shd w:val="clear" w:color="auto" w:fill="FFFFFF"/>
            <w:noWrap/>
            <w:tcMar>
              <w:top w:w="0" w:type="dxa"/>
              <w:left w:w="0" w:type="dxa"/>
              <w:bottom w:w="0" w:type="dxa"/>
              <w:right w:w="0" w:type="dxa"/>
            </w:tcMar>
            <w:vAlign w:val="center"/>
          </w:tcPr>
          <w:p w:rsidR="00EB231A" w:rsidRDefault="006B7D36">
            <w:pPr>
              <w:jc w:val="right"/>
            </w:pPr>
            <w:r>
              <w:t>V. Uzvārds</w:t>
            </w:r>
          </w:p>
        </w:tc>
      </w:tr>
    </w:tbl>
    <w:p w:rsidR="00EB231A" w:rsidRDefault="006B7D36">
      <w:pPr>
        <w:spacing w:before="800"/>
        <w:ind w:left="705"/>
      </w:pPr>
      <w:r>
        <w:rPr>
          <w:sz w:val="24"/>
        </w:rPr>
        <w:t>* Dokuments ir parakstīts ar drošu elektronisko parakstu</w:t>
      </w:r>
    </w:p>
    <w:sectPr w:rsidR="00EB231A">
      <w:headerReference w:type="default" r:id="rId7"/>
      <w:footerReference w:type="default" r:id="rId8"/>
      <w:headerReference w:type="first" r:id="rId9"/>
      <w:footerReference w:type="first" r:id="rId10"/>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7D36" w:rsidRDefault="006B7D36">
      <w:r>
        <w:separator/>
      </w:r>
    </w:p>
  </w:endnote>
  <w:endnote w:type="continuationSeparator" w:id="0">
    <w:p w:rsidR="006B7D36" w:rsidRDefault="006B7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Palatino">
    <w:panose1 w:val="00000000000000000000"/>
    <w:charset w:val="00"/>
    <w:family w:val="roman"/>
    <w:notTrueType/>
    <w:pitch w:val="default"/>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31A" w:rsidRDefault="006B7D36">
    <w:pPr>
      <w:jc w:val="right"/>
    </w:pPr>
    <w:r>
      <w:rPr>
        <w:sz w:val="24"/>
        <w:szCs w:val="24"/>
      </w:rPr>
      <w:fldChar w:fldCharType="begin"/>
    </w:r>
    <w:r>
      <w:rPr>
        <w:sz w:val="24"/>
        <w:szCs w:val="24"/>
      </w:rPr>
      <w:instrText>PAGE</w:instrText>
    </w:r>
    <w:r w:rsidR="000E7452">
      <w:rPr>
        <w:sz w:val="24"/>
        <w:szCs w:val="24"/>
      </w:rPr>
      <w:fldChar w:fldCharType="separate"/>
    </w:r>
    <w:r w:rsidR="000E7452">
      <w:rPr>
        <w:noProof/>
        <w:sz w:val="24"/>
        <w:szCs w:val="24"/>
      </w:rPr>
      <w:t>16</w:t>
    </w:r>
    <w:r>
      <w:rPr>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6B7D36">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7D36" w:rsidRDefault="006B7D36">
      <w:r>
        <w:separator/>
      </w:r>
    </w:p>
  </w:footnote>
  <w:footnote w:type="continuationSeparator" w:id="0">
    <w:p w:rsidR="006B7D36" w:rsidRDefault="006B7D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31A" w:rsidRDefault="006B7D36">
    <w:pPr>
      <w:pStyle w:val="Galvene"/>
      <w:contextualSpacing w:val="0"/>
    </w:pPr>
    <w:r>
      <w:t>Likumprojekts 22-TA-3504</w:t>
    </w:r>
    <w:r>
      <w:br/>
    </w:r>
    <w:r>
      <w:t>Izdrukāts 07.03.2023. 16.51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31A" w:rsidRDefault="006B7D36">
    <w:pPr>
      <w:pStyle w:val="Galvene"/>
      <w:contextualSpacing w:val="0"/>
    </w:pPr>
    <w:r>
      <w:t>Likumprojekts 22-TA-3504</w:t>
    </w:r>
    <w:r>
      <w:br/>
    </w:r>
    <w:r>
      <w:t>Izdrukāts 07.03.2023. 16.51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936D8"/>
    <w:multiLevelType w:val="hybridMultilevel"/>
    <w:tmpl w:val="8368C3C4"/>
    <w:lvl w:ilvl="0" w:tplc="BF2215B2">
      <w:start w:val="1"/>
      <w:numFmt w:val="bullet"/>
      <w:lvlRestart w:val="0"/>
      <w:lvlText w:val=""/>
      <w:lvlJc w:val="left"/>
      <w:pPr>
        <w:ind w:left="0" w:firstLine="705"/>
      </w:pPr>
      <w:rPr>
        <w:u w:val="none"/>
      </w:rPr>
    </w:lvl>
    <w:lvl w:ilvl="1" w:tplc="8BDCD7F8">
      <w:numFmt w:val="decimal"/>
      <w:lvlText w:val=""/>
      <w:lvlJc w:val="left"/>
    </w:lvl>
    <w:lvl w:ilvl="2" w:tplc="C91A7BC2">
      <w:numFmt w:val="decimal"/>
      <w:lvlText w:val=""/>
      <w:lvlJc w:val="left"/>
    </w:lvl>
    <w:lvl w:ilvl="3" w:tplc="528EAD04">
      <w:numFmt w:val="decimal"/>
      <w:lvlText w:val=""/>
      <w:lvlJc w:val="left"/>
    </w:lvl>
    <w:lvl w:ilvl="4" w:tplc="1B166E06">
      <w:numFmt w:val="decimal"/>
      <w:lvlText w:val=""/>
      <w:lvlJc w:val="left"/>
    </w:lvl>
    <w:lvl w:ilvl="5" w:tplc="5EAA1200">
      <w:numFmt w:val="decimal"/>
      <w:lvlText w:val=""/>
      <w:lvlJc w:val="left"/>
    </w:lvl>
    <w:lvl w:ilvl="6" w:tplc="C622C3DC">
      <w:numFmt w:val="decimal"/>
      <w:lvlText w:val=""/>
      <w:lvlJc w:val="left"/>
    </w:lvl>
    <w:lvl w:ilvl="7" w:tplc="893A1A7E">
      <w:numFmt w:val="decimal"/>
      <w:lvlText w:val=""/>
      <w:lvlJc w:val="left"/>
    </w:lvl>
    <w:lvl w:ilvl="8" w:tplc="9A3EBCA2">
      <w:numFmt w:val="decimal"/>
      <w:lvlText w:val=""/>
      <w:lvlJc w:val="left"/>
    </w:lvl>
  </w:abstractNum>
  <w:abstractNum w:abstractNumId="1" w15:restartNumberingAfterBreak="0">
    <w:nsid w:val="01C9251B"/>
    <w:multiLevelType w:val="hybridMultilevel"/>
    <w:tmpl w:val="771E29F6"/>
    <w:lvl w:ilvl="0" w:tplc="175C77F4">
      <w:start w:val="1"/>
      <w:numFmt w:val="bullet"/>
      <w:lvlRestart w:val="0"/>
      <w:lvlText w:val=""/>
      <w:lvlJc w:val="left"/>
      <w:pPr>
        <w:ind w:left="0" w:firstLine="705"/>
      </w:pPr>
      <w:rPr>
        <w:u w:val="none"/>
      </w:rPr>
    </w:lvl>
    <w:lvl w:ilvl="1" w:tplc="574C93C0">
      <w:numFmt w:val="decimal"/>
      <w:lvlText w:val=""/>
      <w:lvlJc w:val="left"/>
    </w:lvl>
    <w:lvl w:ilvl="2" w:tplc="90E4FB44">
      <w:numFmt w:val="decimal"/>
      <w:lvlText w:val=""/>
      <w:lvlJc w:val="left"/>
    </w:lvl>
    <w:lvl w:ilvl="3" w:tplc="2794AAB8">
      <w:numFmt w:val="decimal"/>
      <w:lvlText w:val=""/>
      <w:lvlJc w:val="left"/>
    </w:lvl>
    <w:lvl w:ilvl="4" w:tplc="08C238F6">
      <w:numFmt w:val="decimal"/>
      <w:lvlText w:val=""/>
      <w:lvlJc w:val="left"/>
    </w:lvl>
    <w:lvl w:ilvl="5" w:tplc="C1706396">
      <w:numFmt w:val="decimal"/>
      <w:lvlText w:val=""/>
      <w:lvlJc w:val="left"/>
    </w:lvl>
    <w:lvl w:ilvl="6" w:tplc="F5DA784E">
      <w:numFmt w:val="decimal"/>
      <w:lvlText w:val=""/>
      <w:lvlJc w:val="left"/>
    </w:lvl>
    <w:lvl w:ilvl="7" w:tplc="AA0654EC">
      <w:numFmt w:val="decimal"/>
      <w:lvlText w:val=""/>
      <w:lvlJc w:val="left"/>
    </w:lvl>
    <w:lvl w:ilvl="8" w:tplc="5A46B46C">
      <w:numFmt w:val="decimal"/>
      <w:lvlText w:val=""/>
      <w:lvlJc w:val="left"/>
    </w:lvl>
  </w:abstractNum>
  <w:abstractNum w:abstractNumId="2" w15:restartNumberingAfterBreak="0">
    <w:nsid w:val="060524DF"/>
    <w:multiLevelType w:val="hybridMultilevel"/>
    <w:tmpl w:val="8F821910"/>
    <w:lvl w:ilvl="0" w:tplc="EBF26600">
      <w:start w:val="1"/>
      <w:numFmt w:val="bullet"/>
      <w:lvlRestart w:val="0"/>
      <w:lvlText w:val=""/>
      <w:lvlJc w:val="left"/>
      <w:pPr>
        <w:ind w:left="0" w:firstLine="705"/>
      </w:pPr>
      <w:rPr>
        <w:u w:val="none"/>
      </w:rPr>
    </w:lvl>
    <w:lvl w:ilvl="1" w:tplc="A96AD5AA">
      <w:numFmt w:val="decimal"/>
      <w:lvlText w:val=""/>
      <w:lvlJc w:val="left"/>
    </w:lvl>
    <w:lvl w:ilvl="2" w:tplc="57CCAC00">
      <w:numFmt w:val="decimal"/>
      <w:lvlText w:val=""/>
      <w:lvlJc w:val="left"/>
    </w:lvl>
    <w:lvl w:ilvl="3" w:tplc="E6E467E6">
      <w:numFmt w:val="decimal"/>
      <w:lvlText w:val=""/>
      <w:lvlJc w:val="left"/>
    </w:lvl>
    <w:lvl w:ilvl="4" w:tplc="75F4A404">
      <w:numFmt w:val="decimal"/>
      <w:lvlText w:val=""/>
      <w:lvlJc w:val="left"/>
    </w:lvl>
    <w:lvl w:ilvl="5" w:tplc="BFB040BC">
      <w:numFmt w:val="decimal"/>
      <w:lvlText w:val=""/>
      <w:lvlJc w:val="left"/>
    </w:lvl>
    <w:lvl w:ilvl="6" w:tplc="CF72CC68">
      <w:numFmt w:val="decimal"/>
      <w:lvlText w:val=""/>
      <w:lvlJc w:val="left"/>
    </w:lvl>
    <w:lvl w:ilvl="7" w:tplc="6FCA1BC2">
      <w:numFmt w:val="decimal"/>
      <w:lvlText w:val=""/>
      <w:lvlJc w:val="left"/>
    </w:lvl>
    <w:lvl w:ilvl="8" w:tplc="27B0FED8">
      <w:numFmt w:val="decimal"/>
      <w:lvlText w:val=""/>
      <w:lvlJc w:val="left"/>
    </w:lvl>
  </w:abstractNum>
  <w:abstractNum w:abstractNumId="3" w15:restartNumberingAfterBreak="0">
    <w:nsid w:val="0A075B18"/>
    <w:multiLevelType w:val="hybridMultilevel"/>
    <w:tmpl w:val="DE3C4F8A"/>
    <w:lvl w:ilvl="0" w:tplc="F67A53F8">
      <w:start w:val="1"/>
      <w:numFmt w:val="bullet"/>
      <w:lvlRestart w:val="0"/>
      <w:lvlText w:val=""/>
      <w:lvlJc w:val="left"/>
      <w:pPr>
        <w:ind w:left="0" w:firstLine="705"/>
      </w:pPr>
      <w:rPr>
        <w:u w:val="none"/>
      </w:rPr>
    </w:lvl>
    <w:lvl w:ilvl="1" w:tplc="EC0AFB02">
      <w:numFmt w:val="decimal"/>
      <w:lvlText w:val=""/>
      <w:lvlJc w:val="left"/>
    </w:lvl>
    <w:lvl w:ilvl="2" w:tplc="41D63442">
      <w:numFmt w:val="decimal"/>
      <w:lvlText w:val=""/>
      <w:lvlJc w:val="left"/>
    </w:lvl>
    <w:lvl w:ilvl="3" w:tplc="28A80ACA">
      <w:numFmt w:val="decimal"/>
      <w:lvlText w:val=""/>
      <w:lvlJc w:val="left"/>
    </w:lvl>
    <w:lvl w:ilvl="4" w:tplc="386E323C">
      <w:numFmt w:val="decimal"/>
      <w:lvlText w:val=""/>
      <w:lvlJc w:val="left"/>
    </w:lvl>
    <w:lvl w:ilvl="5" w:tplc="8DF0D69C">
      <w:numFmt w:val="decimal"/>
      <w:lvlText w:val=""/>
      <w:lvlJc w:val="left"/>
    </w:lvl>
    <w:lvl w:ilvl="6" w:tplc="CCE6185C">
      <w:numFmt w:val="decimal"/>
      <w:lvlText w:val=""/>
      <w:lvlJc w:val="left"/>
    </w:lvl>
    <w:lvl w:ilvl="7" w:tplc="CF904218">
      <w:numFmt w:val="decimal"/>
      <w:lvlText w:val=""/>
      <w:lvlJc w:val="left"/>
    </w:lvl>
    <w:lvl w:ilvl="8" w:tplc="E03CE924">
      <w:numFmt w:val="decimal"/>
      <w:lvlText w:val=""/>
      <w:lvlJc w:val="left"/>
    </w:lvl>
  </w:abstractNum>
  <w:abstractNum w:abstractNumId="4" w15:restartNumberingAfterBreak="0">
    <w:nsid w:val="0B4D2C68"/>
    <w:multiLevelType w:val="hybridMultilevel"/>
    <w:tmpl w:val="8C5ABDB6"/>
    <w:lvl w:ilvl="0" w:tplc="9C1C7134">
      <w:start w:val="1"/>
      <w:numFmt w:val="bullet"/>
      <w:lvlRestart w:val="0"/>
      <w:lvlText w:val=""/>
      <w:lvlJc w:val="left"/>
      <w:pPr>
        <w:ind w:left="0" w:firstLine="705"/>
      </w:pPr>
      <w:rPr>
        <w:u w:val="none"/>
      </w:rPr>
    </w:lvl>
    <w:lvl w:ilvl="1" w:tplc="73AE6F22">
      <w:numFmt w:val="decimal"/>
      <w:lvlText w:val=""/>
      <w:lvlJc w:val="left"/>
    </w:lvl>
    <w:lvl w:ilvl="2" w:tplc="D5361B86">
      <w:numFmt w:val="decimal"/>
      <w:lvlText w:val=""/>
      <w:lvlJc w:val="left"/>
    </w:lvl>
    <w:lvl w:ilvl="3" w:tplc="625E3FDE">
      <w:numFmt w:val="decimal"/>
      <w:lvlText w:val=""/>
      <w:lvlJc w:val="left"/>
    </w:lvl>
    <w:lvl w:ilvl="4" w:tplc="8DA47726">
      <w:numFmt w:val="decimal"/>
      <w:lvlText w:val=""/>
      <w:lvlJc w:val="left"/>
    </w:lvl>
    <w:lvl w:ilvl="5" w:tplc="541E8526">
      <w:numFmt w:val="decimal"/>
      <w:lvlText w:val=""/>
      <w:lvlJc w:val="left"/>
    </w:lvl>
    <w:lvl w:ilvl="6" w:tplc="6758043A">
      <w:numFmt w:val="decimal"/>
      <w:lvlText w:val=""/>
      <w:lvlJc w:val="left"/>
    </w:lvl>
    <w:lvl w:ilvl="7" w:tplc="8CB8E2C4">
      <w:numFmt w:val="decimal"/>
      <w:lvlText w:val=""/>
      <w:lvlJc w:val="left"/>
    </w:lvl>
    <w:lvl w:ilvl="8" w:tplc="0C1E45D8">
      <w:numFmt w:val="decimal"/>
      <w:lvlText w:val=""/>
      <w:lvlJc w:val="left"/>
    </w:lvl>
  </w:abstractNum>
  <w:abstractNum w:abstractNumId="5" w15:restartNumberingAfterBreak="0">
    <w:nsid w:val="0F294987"/>
    <w:multiLevelType w:val="hybridMultilevel"/>
    <w:tmpl w:val="2ADE0A2A"/>
    <w:lvl w:ilvl="0" w:tplc="5D60BBBC">
      <w:start w:val="1"/>
      <w:numFmt w:val="bullet"/>
      <w:lvlRestart w:val="0"/>
      <w:lvlText w:val=""/>
      <w:lvlJc w:val="left"/>
      <w:pPr>
        <w:ind w:left="0" w:firstLine="705"/>
      </w:pPr>
      <w:rPr>
        <w:u w:val="none"/>
      </w:rPr>
    </w:lvl>
    <w:lvl w:ilvl="1" w:tplc="D5EA01FE">
      <w:numFmt w:val="decimal"/>
      <w:lvlText w:val=""/>
      <w:lvlJc w:val="left"/>
    </w:lvl>
    <w:lvl w:ilvl="2" w:tplc="C0C61EBE">
      <w:numFmt w:val="decimal"/>
      <w:lvlText w:val=""/>
      <w:lvlJc w:val="left"/>
    </w:lvl>
    <w:lvl w:ilvl="3" w:tplc="C5FE1A20">
      <w:numFmt w:val="decimal"/>
      <w:lvlText w:val=""/>
      <w:lvlJc w:val="left"/>
    </w:lvl>
    <w:lvl w:ilvl="4" w:tplc="914CBD20">
      <w:numFmt w:val="decimal"/>
      <w:lvlText w:val=""/>
      <w:lvlJc w:val="left"/>
    </w:lvl>
    <w:lvl w:ilvl="5" w:tplc="0562FCB2">
      <w:numFmt w:val="decimal"/>
      <w:lvlText w:val=""/>
      <w:lvlJc w:val="left"/>
    </w:lvl>
    <w:lvl w:ilvl="6" w:tplc="DF0C4A1E">
      <w:numFmt w:val="decimal"/>
      <w:lvlText w:val=""/>
      <w:lvlJc w:val="left"/>
    </w:lvl>
    <w:lvl w:ilvl="7" w:tplc="D2BE6A12">
      <w:numFmt w:val="decimal"/>
      <w:lvlText w:val=""/>
      <w:lvlJc w:val="left"/>
    </w:lvl>
    <w:lvl w:ilvl="8" w:tplc="C1C663CA">
      <w:numFmt w:val="decimal"/>
      <w:lvlText w:val=""/>
      <w:lvlJc w:val="left"/>
    </w:lvl>
  </w:abstractNum>
  <w:abstractNum w:abstractNumId="6" w15:restartNumberingAfterBreak="0">
    <w:nsid w:val="0FD22D76"/>
    <w:multiLevelType w:val="hybridMultilevel"/>
    <w:tmpl w:val="9954A602"/>
    <w:lvl w:ilvl="0" w:tplc="1C94A68E">
      <w:start w:val="1"/>
      <w:numFmt w:val="bullet"/>
      <w:lvlRestart w:val="0"/>
      <w:lvlText w:val=""/>
      <w:lvlJc w:val="left"/>
      <w:pPr>
        <w:ind w:left="0" w:firstLine="705"/>
      </w:pPr>
      <w:rPr>
        <w:u w:val="none"/>
      </w:rPr>
    </w:lvl>
    <w:lvl w:ilvl="1" w:tplc="29CE300A">
      <w:numFmt w:val="decimal"/>
      <w:lvlText w:val=""/>
      <w:lvlJc w:val="left"/>
    </w:lvl>
    <w:lvl w:ilvl="2" w:tplc="48A8B610">
      <w:numFmt w:val="decimal"/>
      <w:lvlText w:val=""/>
      <w:lvlJc w:val="left"/>
    </w:lvl>
    <w:lvl w:ilvl="3" w:tplc="1F685A7A">
      <w:numFmt w:val="decimal"/>
      <w:lvlText w:val=""/>
      <w:lvlJc w:val="left"/>
    </w:lvl>
    <w:lvl w:ilvl="4" w:tplc="8746F290">
      <w:numFmt w:val="decimal"/>
      <w:lvlText w:val=""/>
      <w:lvlJc w:val="left"/>
    </w:lvl>
    <w:lvl w:ilvl="5" w:tplc="48460E00">
      <w:numFmt w:val="decimal"/>
      <w:lvlText w:val=""/>
      <w:lvlJc w:val="left"/>
    </w:lvl>
    <w:lvl w:ilvl="6" w:tplc="6BFE6F74">
      <w:numFmt w:val="decimal"/>
      <w:lvlText w:val=""/>
      <w:lvlJc w:val="left"/>
    </w:lvl>
    <w:lvl w:ilvl="7" w:tplc="3C724944">
      <w:numFmt w:val="decimal"/>
      <w:lvlText w:val=""/>
      <w:lvlJc w:val="left"/>
    </w:lvl>
    <w:lvl w:ilvl="8" w:tplc="2ECEEECA">
      <w:numFmt w:val="decimal"/>
      <w:lvlText w:val=""/>
      <w:lvlJc w:val="left"/>
    </w:lvl>
  </w:abstractNum>
  <w:abstractNum w:abstractNumId="7" w15:restartNumberingAfterBreak="0">
    <w:nsid w:val="11FA4DDF"/>
    <w:multiLevelType w:val="hybridMultilevel"/>
    <w:tmpl w:val="5A38A9F6"/>
    <w:lvl w:ilvl="0" w:tplc="F34EC1EC">
      <w:start w:val="1"/>
      <w:numFmt w:val="bullet"/>
      <w:lvlRestart w:val="0"/>
      <w:lvlText w:val=""/>
      <w:lvlJc w:val="left"/>
      <w:pPr>
        <w:ind w:left="0" w:firstLine="705"/>
      </w:pPr>
      <w:rPr>
        <w:u w:val="none"/>
      </w:rPr>
    </w:lvl>
    <w:lvl w:ilvl="1" w:tplc="1658B596">
      <w:numFmt w:val="decimal"/>
      <w:lvlText w:val=""/>
      <w:lvlJc w:val="left"/>
    </w:lvl>
    <w:lvl w:ilvl="2" w:tplc="DEAC0266">
      <w:numFmt w:val="decimal"/>
      <w:lvlText w:val=""/>
      <w:lvlJc w:val="left"/>
    </w:lvl>
    <w:lvl w:ilvl="3" w:tplc="54D62C66">
      <w:numFmt w:val="decimal"/>
      <w:lvlText w:val=""/>
      <w:lvlJc w:val="left"/>
    </w:lvl>
    <w:lvl w:ilvl="4" w:tplc="8D849A4A">
      <w:numFmt w:val="decimal"/>
      <w:lvlText w:val=""/>
      <w:lvlJc w:val="left"/>
    </w:lvl>
    <w:lvl w:ilvl="5" w:tplc="A6DA854C">
      <w:numFmt w:val="decimal"/>
      <w:lvlText w:val=""/>
      <w:lvlJc w:val="left"/>
    </w:lvl>
    <w:lvl w:ilvl="6" w:tplc="599ABACE">
      <w:numFmt w:val="decimal"/>
      <w:lvlText w:val=""/>
      <w:lvlJc w:val="left"/>
    </w:lvl>
    <w:lvl w:ilvl="7" w:tplc="E70EAA1E">
      <w:numFmt w:val="decimal"/>
      <w:lvlText w:val=""/>
      <w:lvlJc w:val="left"/>
    </w:lvl>
    <w:lvl w:ilvl="8" w:tplc="D512C924">
      <w:numFmt w:val="decimal"/>
      <w:lvlText w:val=""/>
      <w:lvlJc w:val="left"/>
    </w:lvl>
  </w:abstractNum>
  <w:abstractNum w:abstractNumId="8" w15:restartNumberingAfterBreak="0">
    <w:nsid w:val="12C9698A"/>
    <w:multiLevelType w:val="hybridMultilevel"/>
    <w:tmpl w:val="4E8E2D9A"/>
    <w:lvl w:ilvl="0" w:tplc="C500135A">
      <w:start w:val="1"/>
      <w:numFmt w:val="bullet"/>
      <w:lvlRestart w:val="0"/>
      <w:lvlText w:val=""/>
      <w:lvlJc w:val="left"/>
      <w:pPr>
        <w:ind w:left="0" w:firstLine="705"/>
      </w:pPr>
      <w:rPr>
        <w:u w:val="none"/>
      </w:rPr>
    </w:lvl>
    <w:lvl w:ilvl="1" w:tplc="BDFE5F52">
      <w:numFmt w:val="decimal"/>
      <w:lvlText w:val=""/>
      <w:lvlJc w:val="left"/>
    </w:lvl>
    <w:lvl w:ilvl="2" w:tplc="5412C2EC">
      <w:numFmt w:val="decimal"/>
      <w:lvlText w:val=""/>
      <w:lvlJc w:val="left"/>
    </w:lvl>
    <w:lvl w:ilvl="3" w:tplc="6292E606">
      <w:numFmt w:val="decimal"/>
      <w:lvlText w:val=""/>
      <w:lvlJc w:val="left"/>
    </w:lvl>
    <w:lvl w:ilvl="4" w:tplc="0C5216F8">
      <w:numFmt w:val="decimal"/>
      <w:lvlText w:val=""/>
      <w:lvlJc w:val="left"/>
    </w:lvl>
    <w:lvl w:ilvl="5" w:tplc="8600301C">
      <w:numFmt w:val="decimal"/>
      <w:lvlText w:val=""/>
      <w:lvlJc w:val="left"/>
    </w:lvl>
    <w:lvl w:ilvl="6" w:tplc="1816846C">
      <w:numFmt w:val="decimal"/>
      <w:lvlText w:val=""/>
      <w:lvlJc w:val="left"/>
    </w:lvl>
    <w:lvl w:ilvl="7" w:tplc="8A207BA0">
      <w:numFmt w:val="decimal"/>
      <w:lvlText w:val=""/>
      <w:lvlJc w:val="left"/>
    </w:lvl>
    <w:lvl w:ilvl="8" w:tplc="38F6B21C">
      <w:numFmt w:val="decimal"/>
      <w:lvlText w:val=""/>
      <w:lvlJc w:val="left"/>
    </w:lvl>
  </w:abstractNum>
  <w:abstractNum w:abstractNumId="9" w15:restartNumberingAfterBreak="0">
    <w:nsid w:val="169912E4"/>
    <w:multiLevelType w:val="hybridMultilevel"/>
    <w:tmpl w:val="D03ADEAA"/>
    <w:lvl w:ilvl="0" w:tplc="E29CF89E">
      <w:start w:val="1"/>
      <w:numFmt w:val="bullet"/>
      <w:lvlRestart w:val="0"/>
      <w:lvlText w:val=""/>
      <w:lvlJc w:val="left"/>
      <w:pPr>
        <w:ind w:left="0" w:firstLine="705"/>
      </w:pPr>
      <w:rPr>
        <w:u w:val="none"/>
      </w:rPr>
    </w:lvl>
    <w:lvl w:ilvl="1" w:tplc="88A8FFAA">
      <w:numFmt w:val="decimal"/>
      <w:lvlText w:val=""/>
      <w:lvlJc w:val="left"/>
    </w:lvl>
    <w:lvl w:ilvl="2" w:tplc="AAECCBEA">
      <w:numFmt w:val="decimal"/>
      <w:lvlText w:val=""/>
      <w:lvlJc w:val="left"/>
    </w:lvl>
    <w:lvl w:ilvl="3" w:tplc="85AEEAD8">
      <w:numFmt w:val="decimal"/>
      <w:lvlText w:val=""/>
      <w:lvlJc w:val="left"/>
    </w:lvl>
    <w:lvl w:ilvl="4" w:tplc="150CECF2">
      <w:numFmt w:val="decimal"/>
      <w:lvlText w:val=""/>
      <w:lvlJc w:val="left"/>
    </w:lvl>
    <w:lvl w:ilvl="5" w:tplc="91CE286E">
      <w:numFmt w:val="decimal"/>
      <w:lvlText w:val=""/>
      <w:lvlJc w:val="left"/>
    </w:lvl>
    <w:lvl w:ilvl="6" w:tplc="70D2AED2">
      <w:numFmt w:val="decimal"/>
      <w:lvlText w:val=""/>
      <w:lvlJc w:val="left"/>
    </w:lvl>
    <w:lvl w:ilvl="7" w:tplc="2B8867A8">
      <w:numFmt w:val="decimal"/>
      <w:lvlText w:val=""/>
      <w:lvlJc w:val="left"/>
    </w:lvl>
    <w:lvl w:ilvl="8" w:tplc="1876ACA2">
      <w:numFmt w:val="decimal"/>
      <w:lvlText w:val=""/>
      <w:lvlJc w:val="left"/>
    </w:lvl>
  </w:abstractNum>
  <w:abstractNum w:abstractNumId="10" w15:restartNumberingAfterBreak="0">
    <w:nsid w:val="21544CCD"/>
    <w:multiLevelType w:val="hybridMultilevel"/>
    <w:tmpl w:val="24A2DB42"/>
    <w:lvl w:ilvl="0" w:tplc="2F680720">
      <w:start w:val="1"/>
      <w:numFmt w:val="bullet"/>
      <w:lvlRestart w:val="0"/>
      <w:lvlText w:val=""/>
      <w:lvlJc w:val="left"/>
      <w:pPr>
        <w:ind w:left="0" w:firstLine="705"/>
      </w:pPr>
      <w:rPr>
        <w:u w:val="none"/>
      </w:rPr>
    </w:lvl>
    <w:lvl w:ilvl="1" w:tplc="D52C72B0">
      <w:numFmt w:val="decimal"/>
      <w:lvlText w:val=""/>
      <w:lvlJc w:val="left"/>
    </w:lvl>
    <w:lvl w:ilvl="2" w:tplc="518CEA0A">
      <w:numFmt w:val="decimal"/>
      <w:lvlText w:val=""/>
      <w:lvlJc w:val="left"/>
    </w:lvl>
    <w:lvl w:ilvl="3" w:tplc="284C3BAA">
      <w:numFmt w:val="decimal"/>
      <w:lvlText w:val=""/>
      <w:lvlJc w:val="left"/>
    </w:lvl>
    <w:lvl w:ilvl="4" w:tplc="464C2BB4">
      <w:numFmt w:val="decimal"/>
      <w:lvlText w:val=""/>
      <w:lvlJc w:val="left"/>
    </w:lvl>
    <w:lvl w:ilvl="5" w:tplc="232C9BE8">
      <w:numFmt w:val="decimal"/>
      <w:lvlText w:val=""/>
      <w:lvlJc w:val="left"/>
    </w:lvl>
    <w:lvl w:ilvl="6" w:tplc="8F485F46">
      <w:numFmt w:val="decimal"/>
      <w:lvlText w:val=""/>
      <w:lvlJc w:val="left"/>
    </w:lvl>
    <w:lvl w:ilvl="7" w:tplc="9C644E72">
      <w:numFmt w:val="decimal"/>
      <w:lvlText w:val=""/>
      <w:lvlJc w:val="left"/>
    </w:lvl>
    <w:lvl w:ilvl="8" w:tplc="E9B42E1A">
      <w:numFmt w:val="decimal"/>
      <w:lvlText w:val=""/>
      <w:lvlJc w:val="left"/>
    </w:lvl>
  </w:abstractNum>
  <w:abstractNum w:abstractNumId="11" w15:restartNumberingAfterBreak="0">
    <w:nsid w:val="23A41053"/>
    <w:multiLevelType w:val="hybridMultilevel"/>
    <w:tmpl w:val="F8FA36F4"/>
    <w:lvl w:ilvl="0" w:tplc="AEE2C276">
      <w:start w:val="1"/>
      <w:numFmt w:val="bullet"/>
      <w:lvlRestart w:val="0"/>
      <w:lvlText w:val=""/>
      <w:lvlJc w:val="left"/>
      <w:pPr>
        <w:ind w:left="0" w:firstLine="705"/>
      </w:pPr>
      <w:rPr>
        <w:u w:val="none"/>
      </w:rPr>
    </w:lvl>
    <w:lvl w:ilvl="1" w:tplc="A8C4F04A">
      <w:numFmt w:val="decimal"/>
      <w:lvlText w:val=""/>
      <w:lvlJc w:val="left"/>
    </w:lvl>
    <w:lvl w:ilvl="2" w:tplc="EF9CE75A">
      <w:numFmt w:val="decimal"/>
      <w:lvlText w:val=""/>
      <w:lvlJc w:val="left"/>
    </w:lvl>
    <w:lvl w:ilvl="3" w:tplc="FC865042">
      <w:numFmt w:val="decimal"/>
      <w:lvlText w:val=""/>
      <w:lvlJc w:val="left"/>
    </w:lvl>
    <w:lvl w:ilvl="4" w:tplc="4B9E7774">
      <w:numFmt w:val="decimal"/>
      <w:lvlText w:val=""/>
      <w:lvlJc w:val="left"/>
    </w:lvl>
    <w:lvl w:ilvl="5" w:tplc="336E7A58">
      <w:numFmt w:val="decimal"/>
      <w:lvlText w:val=""/>
      <w:lvlJc w:val="left"/>
    </w:lvl>
    <w:lvl w:ilvl="6" w:tplc="ECFE7F74">
      <w:numFmt w:val="decimal"/>
      <w:lvlText w:val=""/>
      <w:lvlJc w:val="left"/>
    </w:lvl>
    <w:lvl w:ilvl="7" w:tplc="EDA0C94A">
      <w:numFmt w:val="decimal"/>
      <w:lvlText w:val=""/>
      <w:lvlJc w:val="left"/>
    </w:lvl>
    <w:lvl w:ilvl="8" w:tplc="B4CEC5A8">
      <w:numFmt w:val="decimal"/>
      <w:lvlText w:val=""/>
      <w:lvlJc w:val="left"/>
    </w:lvl>
  </w:abstractNum>
  <w:abstractNum w:abstractNumId="12" w15:restartNumberingAfterBreak="0">
    <w:nsid w:val="2D0975E1"/>
    <w:multiLevelType w:val="hybridMultilevel"/>
    <w:tmpl w:val="32D695F4"/>
    <w:lvl w:ilvl="0" w:tplc="5F62AB86">
      <w:start w:val="1"/>
      <w:numFmt w:val="bullet"/>
      <w:lvlRestart w:val="0"/>
      <w:lvlText w:val=""/>
      <w:lvlJc w:val="left"/>
      <w:pPr>
        <w:ind w:left="0" w:firstLine="705"/>
      </w:pPr>
      <w:rPr>
        <w:u w:val="none"/>
      </w:rPr>
    </w:lvl>
    <w:lvl w:ilvl="1" w:tplc="D0C22D9C">
      <w:numFmt w:val="decimal"/>
      <w:lvlText w:val=""/>
      <w:lvlJc w:val="left"/>
    </w:lvl>
    <w:lvl w:ilvl="2" w:tplc="017A005E">
      <w:numFmt w:val="decimal"/>
      <w:lvlText w:val=""/>
      <w:lvlJc w:val="left"/>
    </w:lvl>
    <w:lvl w:ilvl="3" w:tplc="635E721E">
      <w:numFmt w:val="decimal"/>
      <w:lvlText w:val=""/>
      <w:lvlJc w:val="left"/>
    </w:lvl>
    <w:lvl w:ilvl="4" w:tplc="592C5FDC">
      <w:numFmt w:val="decimal"/>
      <w:lvlText w:val=""/>
      <w:lvlJc w:val="left"/>
    </w:lvl>
    <w:lvl w:ilvl="5" w:tplc="E95E73E0">
      <w:numFmt w:val="decimal"/>
      <w:lvlText w:val=""/>
      <w:lvlJc w:val="left"/>
    </w:lvl>
    <w:lvl w:ilvl="6" w:tplc="CB8C4DC6">
      <w:numFmt w:val="decimal"/>
      <w:lvlText w:val=""/>
      <w:lvlJc w:val="left"/>
    </w:lvl>
    <w:lvl w:ilvl="7" w:tplc="1FDA45E4">
      <w:numFmt w:val="decimal"/>
      <w:lvlText w:val=""/>
      <w:lvlJc w:val="left"/>
    </w:lvl>
    <w:lvl w:ilvl="8" w:tplc="B066D316">
      <w:numFmt w:val="decimal"/>
      <w:lvlText w:val=""/>
      <w:lvlJc w:val="left"/>
    </w:lvl>
  </w:abstractNum>
  <w:abstractNum w:abstractNumId="13" w15:restartNumberingAfterBreak="0">
    <w:nsid w:val="2D1B13AD"/>
    <w:multiLevelType w:val="hybridMultilevel"/>
    <w:tmpl w:val="F5D6D698"/>
    <w:lvl w:ilvl="0" w:tplc="01403090">
      <w:start w:val="1"/>
      <w:numFmt w:val="bullet"/>
      <w:lvlRestart w:val="0"/>
      <w:lvlText w:val=""/>
      <w:lvlJc w:val="left"/>
      <w:pPr>
        <w:ind w:left="0" w:firstLine="705"/>
      </w:pPr>
      <w:rPr>
        <w:u w:val="none"/>
      </w:rPr>
    </w:lvl>
    <w:lvl w:ilvl="1" w:tplc="8DFA37C2">
      <w:numFmt w:val="decimal"/>
      <w:lvlText w:val=""/>
      <w:lvlJc w:val="left"/>
    </w:lvl>
    <w:lvl w:ilvl="2" w:tplc="78F60582">
      <w:numFmt w:val="decimal"/>
      <w:lvlText w:val=""/>
      <w:lvlJc w:val="left"/>
    </w:lvl>
    <w:lvl w:ilvl="3" w:tplc="9476D7AC">
      <w:numFmt w:val="decimal"/>
      <w:lvlText w:val=""/>
      <w:lvlJc w:val="left"/>
    </w:lvl>
    <w:lvl w:ilvl="4" w:tplc="96525268">
      <w:numFmt w:val="decimal"/>
      <w:lvlText w:val=""/>
      <w:lvlJc w:val="left"/>
    </w:lvl>
    <w:lvl w:ilvl="5" w:tplc="EB7A6CE0">
      <w:numFmt w:val="decimal"/>
      <w:lvlText w:val=""/>
      <w:lvlJc w:val="left"/>
    </w:lvl>
    <w:lvl w:ilvl="6" w:tplc="50A8B83E">
      <w:numFmt w:val="decimal"/>
      <w:lvlText w:val=""/>
      <w:lvlJc w:val="left"/>
    </w:lvl>
    <w:lvl w:ilvl="7" w:tplc="B4B64102">
      <w:numFmt w:val="decimal"/>
      <w:lvlText w:val=""/>
      <w:lvlJc w:val="left"/>
    </w:lvl>
    <w:lvl w:ilvl="8" w:tplc="766A3E44">
      <w:numFmt w:val="decimal"/>
      <w:lvlText w:val=""/>
      <w:lvlJc w:val="left"/>
    </w:lvl>
  </w:abstractNum>
  <w:abstractNum w:abstractNumId="14" w15:restartNumberingAfterBreak="0">
    <w:nsid w:val="2F446EE0"/>
    <w:multiLevelType w:val="hybridMultilevel"/>
    <w:tmpl w:val="AC7C8844"/>
    <w:lvl w:ilvl="0" w:tplc="2A7C509E">
      <w:start w:val="1"/>
      <w:numFmt w:val="bullet"/>
      <w:lvlRestart w:val="0"/>
      <w:lvlText w:val=""/>
      <w:lvlJc w:val="left"/>
      <w:pPr>
        <w:ind w:left="0" w:firstLine="705"/>
      </w:pPr>
      <w:rPr>
        <w:u w:val="none"/>
      </w:rPr>
    </w:lvl>
    <w:lvl w:ilvl="1" w:tplc="26841A46">
      <w:numFmt w:val="decimal"/>
      <w:lvlText w:val=""/>
      <w:lvlJc w:val="left"/>
    </w:lvl>
    <w:lvl w:ilvl="2" w:tplc="709EF40C">
      <w:numFmt w:val="decimal"/>
      <w:lvlText w:val=""/>
      <w:lvlJc w:val="left"/>
    </w:lvl>
    <w:lvl w:ilvl="3" w:tplc="1B725E1C">
      <w:numFmt w:val="decimal"/>
      <w:lvlText w:val=""/>
      <w:lvlJc w:val="left"/>
    </w:lvl>
    <w:lvl w:ilvl="4" w:tplc="ADFC261C">
      <w:numFmt w:val="decimal"/>
      <w:lvlText w:val=""/>
      <w:lvlJc w:val="left"/>
    </w:lvl>
    <w:lvl w:ilvl="5" w:tplc="8676F2EE">
      <w:numFmt w:val="decimal"/>
      <w:lvlText w:val=""/>
      <w:lvlJc w:val="left"/>
    </w:lvl>
    <w:lvl w:ilvl="6" w:tplc="4DFC5300">
      <w:numFmt w:val="decimal"/>
      <w:lvlText w:val=""/>
      <w:lvlJc w:val="left"/>
    </w:lvl>
    <w:lvl w:ilvl="7" w:tplc="7A14C1B8">
      <w:numFmt w:val="decimal"/>
      <w:lvlText w:val=""/>
      <w:lvlJc w:val="left"/>
    </w:lvl>
    <w:lvl w:ilvl="8" w:tplc="6904177C">
      <w:numFmt w:val="decimal"/>
      <w:lvlText w:val=""/>
      <w:lvlJc w:val="left"/>
    </w:lvl>
  </w:abstractNum>
  <w:abstractNum w:abstractNumId="15" w15:restartNumberingAfterBreak="0">
    <w:nsid w:val="3D8D0DBE"/>
    <w:multiLevelType w:val="hybridMultilevel"/>
    <w:tmpl w:val="AE3EF7C6"/>
    <w:lvl w:ilvl="0" w:tplc="110C637A">
      <w:start w:val="1"/>
      <w:numFmt w:val="bullet"/>
      <w:lvlRestart w:val="0"/>
      <w:lvlText w:val=""/>
      <w:lvlJc w:val="left"/>
      <w:pPr>
        <w:ind w:left="0" w:firstLine="705"/>
      </w:pPr>
      <w:rPr>
        <w:u w:val="none"/>
      </w:rPr>
    </w:lvl>
    <w:lvl w:ilvl="1" w:tplc="B1D00152">
      <w:numFmt w:val="decimal"/>
      <w:lvlText w:val=""/>
      <w:lvlJc w:val="left"/>
    </w:lvl>
    <w:lvl w:ilvl="2" w:tplc="24982226">
      <w:numFmt w:val="decimal"/>
      <w:lvlText w:val=""/>
      <w:lvlJc w:val="left"/>
    </w:lvl>
    <w:lvl w:ilvl="3" w:tplc="88CEDE48">
      <w:numFmt w:val="decimal"/>
      <w:lvlText w:val=""/>
      <w:lvlJc w:val="left"/>
    </w:lvl>
    <w:lvl w:ilvl="4" w:tplc="EF5C62B2">
      <w:numFmt w:val="decimal"/>
      <w:lvlText w:val=""/>
      <w:lvlJc w:val="left"/>
    </w:lvl>
    <w:lvl w:ilvl="5" w:tplc="BE820CFE">
      <w:numFmt w:val="decimal"/>
      <w:lvlText w:val=""/>
      <w:lvlJc w:val="left"/>
    </w:lvl>
    <w:lvl w:ilvl="6" w:tplc="C3C26852">
      <w:numFmt w:val="decimal"/>
      <w:lvlText w:val=""/>
      <w:lvlJc w:val="left"/>
    </w:lvl>
    <w:lvl w:ilvl="7" w:tplc="71F6841E">
      <w:numFmt w:val="decimal"/>
      <w:lvlText w:val=""/>
      <w:lvlJc w:val="left"/>
    </w:lvl>
    <w:lvl w:ilvl="8" w:tplc="135CFB9C">
      <w:numFmt w:val="decimal"/>
      <w:lvlText w:val=""/>
      <w:lvlJc w:val="left"/>
    </w:lvl>
  </w:abstractNum>
  <w:abstractNum w:abstractNumId="16" w15:restartNumberingAfterBreak="0">
    <w:nsid w:val="3D9C51AC"/>
    <w:multiLevelType w:val="hybridMultilevel"/>
    <w:tmpl w:val="F6ACD2F4"/>
    <w:lvl w:ilvl="0" w:tplc="64580C5C">
      <w:start w:val="1"/>
      <w:numFmt w:val="bullet"/>
      <w:lvlRestart w:val="0"/>
      <w:lvlText w:val=""/>
      <w:lvlJc w:val="left"/>
      <w:pPr>
        <w:ind w:left="0" w:firstLine="705"/>
      </w:pPr>
      <w:rPr>
        <w:u w:val="none"/>
      </w:rPr>
    </w:lvl>
    <w:lvl w:ilvl="1" w:tplc="65F04576">
      <w:numFmt w:val="decimal"/>
      <w:lvlText w:val=""/>
      <w:lvlJc w:val="left"/>
    </w:lvl>
    <w:lvl w:ilvl="2" w:tplc="1F684D22">
      <w:numFmt w:val="decimal"/>
      <w:lvlText w:val=""/>
      <w:lvlJc w:val="left"/>
    </w:lvl>
    <w:lvl w:ilvl="3" w:tplc="A9E662A2">
      <w:numFmt w:val="decimal"/>
      <w:lvlText w:val=""/>
      <w:lvlJc w:val="left"/>
    </w:lvl>
    <w:lvl w:ilvl="4" w:tplc="67407EBC">
      <w:numFmt w:val="decimal"/>
      <w:lvlText w:val=""/>
      <w:lvlJc w:val="left"/>
    </w:lvl>
    <w:lvl w:ilvl="5" w:tplc="4EBAC2A6">
      <w:numFmt w:val="decimal"/>
      <w:lvlText w:val=""/>
      <w:lvlJc w:val="left"/>
    </w:lvl>
    <w:lvl w:ilvl="6" w:tplc="D73A5988">
      <w:numFmt w:val="decimal"/>
      <w:lvlText w:val=""/>
      <w:lvlJc w:val="left"/>
    </w:lvl>
    <w:lvl w:ilvl="7" w:tplc="4C68A17C">
      <w:numFmt w:val="decimal"/>
      <w:lvlText w:val=""/>
      <w:lvlJc w:val="left"/>
    </w:lvl>
    <w:lvl w:ilvl="8" w:tplc="A6161228">
      <w:numFmt w:val="decimal"/>
      <w:lvlText w:val=""/>
      <w:lvlJc w:val="left"/>
    </w:lvl>
  </w:abstractNum>
  <w:abstractNum w:abstractNumId="17" w15:restartNumberingAfterBreak="0">
    <w:nsid w:val="3E0B69C7"/>
    <w:multiLevelType w:val="hybridMultilevel"/>
    <w:tmpl w:val="73AE7AAC"/>
    <w:lvl w:ilvl="0" w:tplc="A93A98C6">
      <w:start w:val="1"/>
      <w:numFmt w:val="bullet"/>
      <w:lvlRestart w:val="0"/>
      <w:lvlText w:val=""/>
      <w:lvlJc w:val="left"/>
      <w:pPr>
        <w:ind w:left="0" w:firstLine="705"/>
      </w:pPr>
      <w:rPr>
        <w:u w:val="none"/>
      </w:rPr>
    </w:lvl>
    <w:lvl w:ilvl="1" w:tplc="71A2E0E0">
      <w:numFmt w:val="decimal"/>
      <w:lvlText w:val=""/>
      <w:lvlJc w:val="left"/>
    </w:lvl>
    <w:lvl w:ilvl="2" w:tplc="79B6BB2C">
      <w:numFmt w:val="decimal"/>
      <w:lvlText w:val=""/>
      <w:lvlJc w:val="left"/>
    </w:lvl>
    <w:lvl w:ilvl="3" w:tplc="000C08F8">
      <w:numFmt w:val="decimal"/>
      <w:lvlText w:val=""/>
      <w:lvlJc w:val="left"/>
    </w:lvl>
    <w:lvl w:ilvl="4" w:tplc="884A21AE">
      <w:numFmt w:val="decimal"/>
      <w:lvlText w:val=""/>
      <w:lvlJc w:val="left"/>
    </w:lvl>
    <w:lvl w:ilvl="5" w:tplc="822EB1C8">
      <w:numFmt w:val="decimal"/>
      <w:lvlText w:val=""/>
      <w:lvlJc w:val="left"/>
    </w:lvl>
    <w:lvl w:ilvl="6" w:tplc="C61EED78">
      <w:numFmt w:val="decimal"/>
      <w:lvlText w:val=""/>
      <w:lvlJc w:val="left"/>
    </w:lvl>
    <w:lvl w:ilvl="7" w:tplc="B72EEAF6">
      <w:numFmt w:val="decimal"/>
      <w:lvlText w:val=""/>
      <w:lvlJc w:val="left"/>
    </w:lvl>
    <w:lvl w:ilvl="8" w:tplc="9DC4D1FE">
      <w:numFmt w:val="decimal"/>
      <w:lvlText w:val=""/>
      <w:lvlJc w:val="left"/>
    </w:lvl>
  </w:abstractNum>
  <w:abstractNum w:abstractNumId="18" w15:restartNumberingAfterBreak="0">
    <w:nsid w:val="444B3313"/>
    <w:multiLevelType w:val="hybridMultilevel"/>
    <w:tmpl w:val="210AFA9C"/>
    <w:lvl w:ilvl="0" w:tplc="E768322E">
      <w:start w:val="1"/>
      <w:numFmt w:val="bullet"/>
      <w:lvlRestart w:val="0"/>
      <w:lvlText w:val=""/>
      <w:lvlJc w:val="left"/>
      <w:pPr>
        <w:ind w:left="0" w:firstLine="705"/>
      </w:pPr>
      <w:rPr>
        <w:u w:val="none"/>
      </w:rPr>
    </w:lvl>
    <w:lvl w:ilvl="1" w:tplc="82B26E4E">
      <w:numFmt w:val="decimal"/>
      <w:lvlText w:val=""/>
      <w:lvlJc w:val="left"/>
    </w:lvl>
    <w:lvl w:ilvl="2" w:tplc="362A6C8E">
      <w:numFmt w:val="decimal"/>
      <w:lvlText w:val=""/>
      <w:lvlJc w:val="left"/>
    </w:lvl>
    <w:lvl w:ilvl="3" w:tplc="E56AB86A">
      <w:numFmt w:val="decimal"/>
      <w:lvlText w:val=""/>
      <w:lvlJc w:val="left"/>
    </w:lvl>
    <w:lvl w:ilvl="4" w:tplc="4E8A7A34">
      <w:numFmt w:val="decimal"/>
      <w:lvlText w:val=""/>
      <w:lvlJc w:val="left"/>
    </w:lvl>
    <w:lvl w:ilvl="5" w:tplc="7BD05366">
      <w:numFmt w:val="decimal"/>
      <w:lvlText w:val=""/>
      <w:lvlJc w:val="left"/>
    </w:lvl>
    <w:lvl w:ilvl="6" w:tplc="CF46621C">
      <w:numFmt w:val="decimal"/>
      <w:lvlText w:val=""/>
      <w:lvlJc w:val="left"/>
    </w:lvl>
    <w:lvl w:ilvl="7" w:tplc="22764FD6">
      <w:numFmt w:val="decimal"/>
      <w:lvlText w:val=""/>
      <w:lvlJc w:val="left"/>
    </w:lvl>
    <w:lvl w:ilvl="8" w:tplc="1834D7F0">
      <w:numFmt w:val="decimal"/>
      <w:lvlText w:val=""/>
      <w:lvlJc w:val="left"/>
    </w:lvl>
  </w:abstractNum>
  <w:abstractNum w:abstractNumId="19" w15:restartNumberingAfterBreak="0">
    <w:nsid w:val="46A72D8A"/>
    <w:multiLevelType w:val="hybridMultilevel"/>
    <w:tmpl w:val="787A41F2"/>
    <w:lvl w:ilvl="0" w:tplc="502AD8E0">
      <w:start w:val="1"/>
      <w:numFmt w:val="bullet"/>
      <w:lvlRestart w:val="0"/>
      <w:lvlText w:val=""/>
      <w:lvlJc w:val="left"/>
      <w:pPr>
        <w:ind w:left="0" w:firstLine="705"/>
      </w:pPr>
      <w:rPr>
        <w:u w:val="none"/>
      </w:rPr>
    </w:lvl>
    <w:lvl w:ilvl="1" w:tplc="BA165E64">
      <w:numFmt w:val="decimal"/>
      <w:lvlText w:val=""/>
      <w:lvlJc w:val="left"/>
    </w:lvl>
    <w:lvl w:ilvl="2" w:tplc="B248ED76">
      <w:numFmt w:val="decimal"/>
      <w:lvlText w:val=""/>
      <w:lvlJc w:val="left"/>
    </w:lvl>
    <w:lvl w:ilvl="3" w:tplc="752CA8CE">
      <w:numFmt w:val="decimal"/>
      <w:lvlText w:val=""/>
      <w:lvlJc w:val="left"/>
    </w:lvl>
    <w:lvl w:ilvl="4" w:tplc="7B865260">
      <w:numFmt w:val="decimal"/>
      <w:lvlText w:val=""/>
      <w:lvlJc w:val="left"/>
    </w:lvl>
    <w:lvl w:ilvl="5" w:tplc="9280E232">
      <w:numFmt w:val="decimal"/>
      <w:lvlText w:val=""/>
      <w:lvlJc w:val="left"/>
    </w:lvl>
    <w:lvl w:ilvl="6" w:tplc="271A5C9E">
      <w:numFmt w:val="decimal"/>
      <w:lvlText w:val=""/>
      <w:lvlJc w:val="left"/>
    </w:lvl>
    <w:lvl w:ilvl="7" w:tplc="9850BACC">
      <w:numFmt w:val="decimal"/>
      <w:lvlText w:val=""/>
      <w:lvlJc w:val="left"/>
    </w:lvl>
    <w:lvl w:ilvl="8" w:tplc="B3F8C8E2">
      <w:numFmt w:val="decimal"/>
      <w:lvlText w:val=""/>
      <w:lvlJc w:val="left"/>
    </w:lvl>
  </w:abstractNum>
  <w:abstractNum w:abstractNumId="20" w15:restartNumberingAfterBreak="0">
    <w:nsid w:val="49964265"/>
    <w:multiLevelType w:val="hybridMultilevel"/>
    <w:tmpl w:val="BC4674FE"/>
    <w:lvl w:ilvl="0" w:tplc="B9F6BA3A">
      <w:start w:val="1"/>
      <w:numFmt w:val="bullet"/>
      <w:lvlRestart w:val="0"/>
      <w:lvlText w:val=""/>
      <w:lvlJc w:val="left"/>
      <w:pPr>
        <w:ind w:left="0" w:firstLine="705"/>
      </w:pPr>
      <w:rPr>
        <w:u w:val="none"/>
      </w:rPr>
    </w:lvl>
    <w:lvl w:ilvl="1" w:tplc="C3287D38">
      <w:numFmt w:val="decimal"/>
      <w:lvlText w:val=""/>
      <w:lvlJc w:val="left"/>
    </w:lvl>
    <w:lvl w:ilvl="2" w:tplc="63E0F3FE">
      <w:numFmt w:val="decimal"/>
      <w:lvlText w:val=""/>
      <w:lvlJc w:val="left"/>
    </w:lvl>
    <w:lvl w:ilvl="3" w:tplc="061C9C54">
      <w:numFmt w:val="decimal"/>
      <w:lvlText w:val=""/>
      <w:lvlJc w:val="left"/>
    </w:lvl>
    <w:lvl w:ilvl="4" w:tplc="B784F012">
      <w:numFmt w:val="decimal"/>
      <w:lvlText w:val=""/>
      <w:lvlJc w:val="left"/>
    </w:lvl>
    <w:lvl w:ilvl="5" w:tplc="98243772">
      <w:numFmt w:val="decimal"/>
      <w:lvlText w:val=""/>
      <w:lvlJc w:val="left"/>
    </w:lvl>
    <w:lvl w:ilvl="6" w:tplc="759EBB22">
      <w:numFmt w:val="decimal"/>
      <w:lvlText w:val=""/>
      <w:lvlJc w:val="left"/>
    </w:lvl>
    <w:lvl w:ilvl="7" w:tplc="9E5C9526">
      <w:numFmt w:val="decimal"/>
      <w:lvlText w:val=""/>
      <w:lvlJc w:val="left"/>
    </w:lvl>
    <w:lvl w:ilvl="8" w:tplc="3C5A94E4">
      <w:numFmt w:val="decimal"/>
      <w:lvlText w:val=""/>
      <w:lvlJc w:val="left"/>
    </w:lvl>
  </w:abstractNum>
  <w:abstractNum w:abstractNumId="21" w15:restartNumberingAfterBreak="0">
    <w:nsid w:val="4E5D093C"/>
    <w:multiLevelType w:val="hybridMultilevel"/>
    <w:tmpl w:val="CF7E91C0"/>
    <w:lvl w:ilvl="0" w:tplc="F35CB64E">
      <w:start w:val="1"/>
      <w:numFmt w:val="bullet"/>
      <w:lvlRestart w:val="0"/>
      <w:lvlText w:val=""/>
      <w:lvlJc w:val="left"/>
      <w:pPr>
        <w:ind w:left="0" w:firstLine="705"/>
      </w:pPr>
      <w:rPr>
        <w:u w:val="none"/>
      </w:rPr>
    </w:lvl>
    <w:lvl w:ilvl="1" w:tplc="8378FF80">
      <w:numFmt w:val="decimal"/>
      <w:lvlText w:val=""/>
      <w:lvlJc w:val="left"/>
    </w:lvl>
    <w:lvl w:ilvl="2" w:tplc="89B6B0BE">
      <w:numFmt w:val="decimal"/>
      <w:lvlText w:val=""/>
      <w:lvlJc w:val="left"/>
    </w:lvl>
    <w:lvl w:ilvl="3" w:tplc="F5AEB08A">
      <w:numFmt w:val="decimal"/>
      <w:lvlText w:val=""/>
      <w:lvlJc w:val="left"/>
    </w:lvl>
    <w:lvl w:ilvl="4" w:tplc="1836271C">
      <w:numFmt w:val="decimal"/>
      <w:lvlText w:val=""/>
      <w:lvlJc w:val="left"/>
    </w:lvl>
    <w:lvl w:ilvl="5" w:tplc="B7D27700">
      <w:numFmt w:val="decimal"/>
      <w:lvlText w:val=""/>
      <w:lvlJc w:val="left"/>
    </w:lvl>
    <w:lvl w:ilvl="6" w:tplc="B6FA0E50">
      <w:numFmt w:val="decimal"/>
      <w:lvlText w:val=""/>
      <w:lvlJc w:val="left"/>
    </w:lvl>
    <w:lvl w:ilvl="7" w:tplc="86201D7E">
      <w:numFmt w:val="decimal"/>
      <w:lvlText w:val=""/>
      <w:lvlJc w:val="left"/>
    </w:lvl>
    <w:lvl w:ilvl="8" w:tplc="E9EA414E">
      <w:numFmt w:val="decimal"/>
      <w:lvlText w:val=""/>
      <w:lvlJc w:val="left"/>
    </w:lvl>
  </w:abstractNum>
  <w:abstractNum w:abstractNumId="22" w15:restartNumberingAfterBreak="0">
    <w:nsid w:val="58B605AE"/>
    <w:multiLevelType w:val="hybridMultilevel"/>
    <w:tmpl w:val="1116CA38"/>
    <w:lvl w:ilvl="0" w:tplc="4C0E27E2">
      <w:start w:val="1"/>
      <w:numFmt w:val="bullet"/>
      <w:lvlRestart w:val="0"/>
      <w:lvlText w:val=""/>
      <w:lvlJc w:val="left"/>
      <w:pPr>
        <w:ind w:left="0" w:firstLine="705"/>
      </w:pPr>
      <w:rPr>
        <w:u w:val="none"/>
      </w:rPr>
    </w:lvl>
    <w:lvl w:ilvl="1" w:tplc="93FC9FC8">
      <w:numFmt w:val="decimal"/>
      <w:lvlText w:val=""/>
      <w:lvlJc w:val="left"/>
    </w:lvl>
    <w:lvl w:ilvl="2" w:tplc="4D2873B8">
      <w:numFmt w:val="decimal"/>
      <w:lvlText w:val=""/>
      <w:lvlJc w:val="left"/>
    </w:lvl>
    <w:lvl w:ilvl="3" w:tplc="D27435B0">
      <w:numFmt w:val="decimal"/>
      <w:lvlText w:val=""/>
      <w:lvlJc w:val="left"/>
    </w:lvl>
    <w:lvl w:ilvl="4" w:tplc="F0EE743E">
      <w:numFmt w:val="decimal"/>
      <w:lvlText w:val=""/>
      <w:lvlJc w:val="left"/>
    </w:lvl>
    <w:lvl w:ilvl="5" w:tplc="FE86298A">
      <w:numFmt w:val="decimal"/>
      <w:lvlText w:val=""/>
      <w:lvlJc w:val="left"/>
    </w:lvl>
    <w:lvl w:ilvl="6" w:tplc="FAF890CC">
      <w:numFmt w:val="decimal"/>
      <w:lvlText w:val=""/>
      <w:lvlJc w:val="left"/>
    </w:lvl>
    <w:lvl w:ilvl="7" w:tplc="55784EC4">
      <w:numFmt w:val="decimal"/>
      <w:lvlText w:val=""/>
      <w:lvlJc w:val="left"/>
    </w:lvl>
    <w:lvl w:ilvl="8" w:tplc="49D6EE14">
      <w:numFmt w:val="decimal"/>
      <w:lvlText w:val=""/>
      <w:lvlJc w:val="left"/>
    </w:lvl>
  </w:abstractNum>
  <w:abstractNum w:abstractNumId="23" w15:restartNumberingAfterBreak="0">
    <w:nsid w:val="62856707"/>
    <w:multiLevelType w:val="hybridMultilevel"/>
    <w:tmpl w:val="A1E8CB2E"/>
    <w:lvl w:ilvl="0" w:tplc="183AAD36">
      <w:start w:val="1"/>
      <w:numFmt w:val="bullet"/>
      <w:lvlRestart w:val="0"/>
      <w:lvlText w:val=""/>
      <w:lvlJc w:val="left"/>
      <w:pPr>
        <w:ind w:left="0" w:firstLine="705"/>
      </w:pPr>
      <w:rPr>
        <w:u w:val="none"/>
      </w:rPr>
    </w:lvl>
    <w:lvl w:ilvl="1" w:tplc="6F3E2960">
      <w:numFmt w:val="decimal"/>
      <w:lvlText w:val=""/>
      <w:lvlJc w:val="left"/>
    </w:lvl>
    <w:lvl w:ilvl="2" w:tplc="AF66836C">
      <w:numFmt w:val="decimal"/>
      <w:lvlText w:val=""/>
      <w:lvlJc w:val="left"/>
    </w:lvl>
    <w:lvl w:ilvl="3" w:tplc="26085920">
      <w:numFmt w:val="decimal"/>
      <w:lvlText w:val=""/>
      <w:lvlJc w:val="left"/>
    </w:lvl>
    <w:lvl w:ilvl="4" w:tplc="A9D4C584">
      <w:numFmt w:val="decimal"/>
      <w:lvlText w:val=""/>
      <w:lvlJc w:val="left"/>
    </w:lvl>
    <w:lvl w:ilvl="5" w:tplc="058C4EFC">
      <w:numFmt w:val="decimal"/>
      <w:lvlText w:val=""/>
      <w:lvlJc w:val="left"/>
    </w:lvl>
    <w:lvl w:ilvl="6" w:tplc="A2D2BA90">
      <w:numFmt w:val="decimal"/>
      <w:lvlText w:val=""/>
      <w:lvlJc w:val="left"/>
    </w:lvl>
    <w:lvl w:ilvl="7" w:tplc="962C8D08">
      <w:numFmt w:val="decimal"/>
      <w:lvlText w:val=""/>
      <w:lvlJc w:val="left"/>
    </w:lvl>
    <w:lvl w:ilvl="8" w:tplc="E4A07A60">
      <w:numFmt w:val="decimal"/>
      <w:lvlText w:val=""/>
      <w:lvlJc w:val="left"/>
    </w:lvl>
  </w:abstractNum>
  <w:abstractNum w:abstractNumId="24" w15:restartNumberingAfterBreak="0">
    <w:nsid w:val="62F05CC1"/>
    <w:multiLevelType w:val="hybridMultilevel"/>
    <w:tmpl w:val="5E74F1EC"/>
    <w:lvl w:ilvl="0" w:tplc="84460AA4">
      <w:start w:val="1"/>
      <w:numFmt w:val="bullet"/>
      <w:lvlRestart w:val="0"/>
      <w:lvlText w:val=""/>
      <w:lvlJc w:val="left"/>
      <w:pPr>
        <w:ind w:left="0" w:firstLine="705"/>
      </w:pPr>
      <w:rPr>
        <w:u w:val="none"/>
      </w:rPr>
    </w:lvl>
    <w:lvl w:ilvl="1" w:tplc="8B885D10">
      <w:numFmt w:val="decimal"/>
      <w:lvlText w:val=""/>
      <w:lvlJc w:val="left"/>
    </w:lvl>
    <w:lvl w:ilvl="2" w:tplc="9FCE50B6">
      <w:numFmt w:val="decimal"/>
      <w:lvlText w:val=""/>
      <w:lvlJc w:val="left"/>
    </w:lvl>
    <w:lvl w:ilvl="3" w:tplc="C3508D7C">
      <w:numFmt w:val="decimal"/>
      <w:lvlText w:val=""/>
      <w:lvlJc w:val="left"/>
    </w:lvl>
    <w:lvl w:ilvl="4" w:tplc="55D41732">
      <w:numFmt w:val="decimal"/>
      <w:lvlText w:val=""/>
      <w:lvlJc w:val="left"/>
    </w:lvl>
    <w:lvl w:ilvl="5" w:tplc="529A6A14">
      <w:numFmt w:val="decimal"/>
      <w:lvlText w:val=""/>
      <w:lvlJc w:val="left"/>
    </w:lvl>
    <w:lvl w:ilvl="6" w:tplc="002A8654">
      <w:numFmt w:val="decimal"/>
      <w:lvlText w:val=""/>
      <w:lvlJc w:val="left"/>
    </w:lvl>
    <w:lvl w:ilvl="7" w:tplc="CB4A840A">
      <w:numFmt w:val="decimal"/>
      <w:lvlText w:val=""/>
      <w:lvlJc w:val="left"/>
    </w:lvl>
    <w:lvl w:ilvl="8" w:tplc="19F4EC7E">
      <w:numFmt w:val="decimal"/>
      <w:lvlText w:val=""/>
      <w:lvlJc w:val="left"/>
    </w:lvl>
  </w:abstractNum>
  <w:abstractNum w:abstractNumId="25" w15:restartNumberingAfterBreak="0">
    <w:nsid w:val="63AF7B13"/>
    <w:multiLevelType w:val="hybridMultilevel"/>
    <w:tmpl w:val="ADE01BE6"/>
    <w:lvl w:ilvl="0" w:tplc="C2F2547E">
      <w:start w:val="1"/>
      <w:numFmt w:val="bullet"/>
      <w:lvlRestart w:val="0"/>
      <w:lvlText w:val=""/>
      <w:lvlJc w:val="left"/>
      <w:pPr>
        <w:ind w:left="0" w:firstLine="705"/>
      </w:pPr>
      <w:rPr>
        <w:u w:val="none"/>
      </w:rPr>
    </w:lvl>
    <w:lvl w:ilvl="1" w:tplc="D84C6CCE">
      <w:numFmt w:val="decimal"/>
      <w:lvlText w:val=""/>
      <w:lvlJc w:val="left"/>
    </w:lvl>
    <w:lvl w:ilvl="2" w:tplc="7E42523E">
      <w:numFmt w:val="decimal"/>
      <w:lvlText w:val=""/>
      <w:lvlJc w:val="left"/>
    </w:lvl>
    <w:lvl w:ilvl="3" w:tplc="9ADA1D36">
      <w:numFmt w:val="decimal"/>
      <w:lvlText w:val=""/>
      <w:lvlJc w:val="left"/>
    </w:lvl>
    <w:lvl w:ilvl="4" w:tplc="1FECE620">
      <w:numFmt w:val="decimal"/>
      <w:lvlText w:val=""/>
      <w:lvlJc w:val="left"/>
    </w:lvl>
    <w:lvl w:ilvl="5" w:tplc="1196074E">
      <w:numFmt w:val="decimal"/>
      <w:lvlText w:val=""/>
      <w:lvlJc w:val="left"/>
    </w:lvl>
    <w:lvl w:ilvl="6" w:tplc="B8D42CB6">
      <w:numFmt w:val="decimal"/>
      <w:lvlText w:val=""/>
      <w:lvlJc w:val="left"/>
    </w:lvl>
    <w:lvl w:ilvl="7" w:tplc="91504680">
      <w:numFmt w:val="decimal"/>
      <w:lvlText w:val=""/>
      <w:lvlJc w:val="left"/>
    </w:lvl>
    <w:lvl w:ilvl="8" w:tplc="224AE118">
      <w:numFmt w:val="decimal"/>
      <w:lvlText w:val=""/>
      <w:lvlJc w:val="left"/>
    </w:lvl>
  </w:abstractNum>
  <w:abstractNum w:abstractNumId="26" w15:restartNumberingAfterBreak="0">
    <w:nsid w:val="77CA49C6"/>
    <w:multiLevelType w:val="hybridMultilevel"/>
    <w:tmpl w:val="E3B67D68"/>
    <w:lvl w:ilvl="0" w:tplc="6EB227FE">
      <w:start w:val="1"/>
      <w:numFmt w:val="bullet"/>
      <w:lvlRestart w:val="0"/>
      <w:lvlText w:val=""/>
      <w:lvlJc w:val="left"/>
      <w:pPr>
        <w:ind w:left="0" w:firstLine="705"/>
      </w:pPr>
      <w:rPr>
        <w:u w:val="none"/>
      </w:rPr>
    </w:lvl>
    <w:lvl w:ilvl="1" w:tplc="95101292">
      <w:numFmt w:val="decimal"/>
      <w:lvlText w:val=""/>
      <w:lvlJc w:val="left"/>
    </w:lvl>
    <w:lvl w:ilvl="2" w:tplc="A7FE3FB4">
      <w:numFmt w:val="decimal"/>
      <w:lvlText w:val=""/>
      <w:lvlJc w:val="left"/>
    </w:lvl>
    <w:lvl w:ilvl="3" w:tplc="449453DC">
      <w:numFmt w:val="decimal"/>
      <w:lvlText w:val=""/>
      <w:lvlJc w:val="left"/>
    </w:lvl>
    <w:lvl w:ilvl="4" w:tplc="ADCC19DE">
      <w:numFmt w:val="decimal"/>
      <w:lvlText w:val=""/>
      <w:lvlJc w:val="left"/>
    </w:lvl>
    <w:lvl w:ilvl="5" w:tplc="AF7E0AEE">
      <w:numFmt w:val="decimal"/>
      <w:lvlText w:val=""/>
      <w:lvlJc w:val="left"/>
    </w:lvl>
    <w:lvl w:ilvl="6" w:tplc="A79EDE6C">
      <w:numFmt w:val="decimal"/>
      <w:lvlText w:val=""/>
      <w:lvlJc w:val="left"/>
    </w:lvl>
    <w:lvl w:ilvl="7" w:tplc="51D85F22">
      <w:numFmt w:val="decimal"/>
      <w:lvlText w:val=""/>
      <w:lvlJc w:val="left"/>
    </w:lvl>
    <w:lvl w:ilvl="8" w:tplc="035E9A7C">
      <w:numFmt w:val="decimal"/>
      <w:lvlText w:val=""/>
      <w:lvlJc w:val="left"/>
    </w:lvl>
  </w:abstractNum>
  <w:abstractNum w:abstractNumId="27" w15:restartNumberingAfterBreak="0">
    <w:nsid w:val="7DF041A0"/>
    <w:multiLevelType w:val="hybridMultilevel"/>
    <w:tmpl w:val="9AC281E4"/>
    <w:lvl w:ilvl="0" w:tplc="850E1374">
      <w:start w:val="1"/>
      <w:numFmt w:val="bullet"/>
      <w:lvlRestart w:val="0"/>
      <w:lvlText w:val=""/>
      <w:lvlJc w:val="left"/>
      <w:pPr>
        <w:ind w:left="0" w:firstLine="705"/>
      </w:pPr>
      <w:rPr>
        <w:u w:val="none"/>
      </w:rPr>
    </w:lvl>
    <w:lvl w:ilvl="1" w:tplc="D07007B8">
      <w:numFmt w:val="decimal"/>
      <w:lvlText w:val=""/>
      <w:lvlJc w:val="left"/>
    </w:lvl>
    <w:lvl w:ilvl="2" w:tplc="96EC7588">
      <w:numFmt w:val="decimal"/>
      <w:lvlText w:val=""/>
      <w:lvlJc w:val="left"/>
    </w:lvl>
    <w:lvl w:ilvl="3" w:tplc="84D8F202">
      <w:numFmt w:val="decimal"/>
      <w:lvlText w:val=""/>
      <w:lvlJc w:val="left"/>
    </w:lvl>
    <w:lvl w:ilvl="4" w:tplc="E8A21EB6">
      <w:numFmt w:val="decimal"/>
      <w:lvlText w:val=""/>
      <w:lvlJc w:val="left"/>
    </w:lvl>
    <w:lvl w:ilvl="5" w:tplc="751AFAC2">
      <w:numFmt w:val="decimal"/>
      <w:lvlText w:val=""/>
      <w:lvlJc w:val="left"/>
    </w:lvl>
    <w:lvl w:ilvl="6" w:tplc="7B748328">
      <w:numFmt w:val="decimal"/>
      <w:lvlText w:val=""/>
      <w:lvlJc w:val="left"/>
    </w:lvl>
    <w:lvl w:ilvl="7" w:tplc="25A6BB8E">
      <w:numFmt w:val="decimal"/>
      <w:lvlText w:val=""/>
      <w:lvlJc w:val="left"/>
    </w:lvl>
    <w:lvl w:ilvl="8" w:tplc="B178F55A">
      <w:numFmt w:val="decimal"/>
      <w:lvlText w:val=""/>
      <w:lvlJc w:val="left"/>
    </w:lvl>
  </w:abstractNum>
  <w:num w:numId="1">
    <w:abstractNumId w:val="20"/>
  </w:num>
  <w:num w:numId="2">
    <w:abstractNumId w:val="21"/>
  </w:num>
  <w:num w:numId="3">
    <w:abstractNumId w:val="24"/>
  </w:num>
  <w:num w:numId="4">
    <w:abstractNumId w:val="9"/>
  </w:num>
  <w:num w:numId="5">
    <w:abstractNumId w:val="12"/>
  </w:num>
  <w:num w:numId="6">
    <w:abstractNumId w:val="19"/>
  </w:num>
  <w:num w:numId="7">
    <w:abstractNumId w:val="27"/>
  </w:num>
  <w:num w:numId="8">
    <w:abstractNumId w:val="6"/>
  </w:num>
  <w:num w:numId="9">
    <w:abstractNumId w:val="16"/>
  </w:num>
  <w:num w:numId="10">
    <w:abstractNumId w:val="2"/>
  </w:num>
  <w:num w:numId="11">
    <w:abstractNumId w:val="14"/>
  </w:num>
  <w:num w:numId="12">
    <w:abstractNumId w:val="13"/>
  </w:num>
  <w:num w:numId="13">
    <w:abstractNumId w:val="4"/>
  </w:num>
  <w:num w:numId="14">
    <w:abstractNumId w:val="1"/>
  </w:num>
  <w:num w:numId="15">
    <w:abstractNumId w:val="3"/>
  </w:num>
  <w:num w:numId="16">
    <w:abstractNumId w:val="25"/>
  </w:num>
  <w:num w:numId="17">
    <w:abstractNumId w:val="0"/>
  </w:num>
  <w:num w:numId="18">
    <w:abstractNumId w:val="5"/>
  </w:num>
  <w:num w:numId="19">
    <w:abstractNumId w:val="22"/>
  </w:num>
  <w:num w:numId="20">
    <w:abstractNumId w:val="7"/>
  </w:num>
  <w:num w:numId="21">
    <w:abstractNumId w:val="26"/>
  </w:num>
  <w:num w:numId="22">
    <w:abstractNumId w:val="8"/>
  </w:num>
  <w:num w:numId="23">
    <w:abstractNumId w:val="15"/>
  </w:num>
  <w:num w:numId="24">
    <w:abstractNumId w:val="11"/>
  </w:num>
  <w:num w:numId="25">
    <w:abstractNumId w:val="17"/>
  </w:num>
  <w:num w:numId="26">
    <w:abstractNumId w:val="18"/>
  </w:num>
  <w:num w:numId="27">
    <w:abstractNumId w:val="23"/>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31A"/>
    <w:rsid w:val="000E7452"/>
    <w:rsid w:val="006B7D36"/>
    <w:rsid w:val="00EB23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104093-7EFB-4248-A67B-6CCBFFB67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spacing w:after="120"/>
      <w:contextualSpacing/>
      <w:outlineLvl w:val="0"/>
    </w:pPr>
    <w:rPr>
      <w:rFonts w:ascii="Palatino" w:eastAsia="Palatino" w:hAnsi="Palatino" w:cs="Palatino"/>
      <w:sz w:val="36"/>
    </w:rPr>
  </w:style>
  <w:style w:type="paragraph" w:styleId="Virsraksts2">
    <w:name w:val="heading 2"/>
    <w:basedOn w:val="Parasts"/>
    <w:next w:val="Parasts"/>
    <w:pPr>
      <w:spacing w:before="120" w:after="160"/>
      <w:contextualSpacing/>
      <w:outlineLvl w:val="1"/>
    </w:pPr>
    <w:rPr>
      <w:rFonts w:ascii="Arial" w:eastAsia="Arial" w:hAnsi="Arial" w:cs="Arial"/>
      <w:b/>
      <w:sz w:val="26"/>
    </w:rPr>
  </w:style>
  <w:style w:type="paragraph" w:styleId="Virsraksts3">
    <w:name w:val="heading 3"/>
    <w:basedOn w:val="Parasts"/>
    <w:next w:val="Parasts"/>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pPr>
      <w:spacing w:before="120" w:after="120"/>
      <w:contextualSpacing/>
      <w:outlineLvl w:val="3"/>
    </w:pPr>
    <w:rPr>
      <w:rFonts w:ascii="Palatino" w:eastAsia="Palatino" w:hAnsi="Palatino" w:cs="Palatino"/>
      <w:b/>
      <w:sz w:val="24"/>
    </w:rPr>
  </w:style>
  <w:style w:type="paragraph" w:styleId="Virsraksts5">
    <w:name w:val="heading 5"/>
    <w:basedOn w:val="Parasts"/>
    <w:next w:val="Parasts"/>
    <w:pPr>
      <w:spacing w:before="120" w:after="120"/>
      <w:contextualSpacing/>
      <w:outlineLvl w:val="4"/>
    </w:pPr>
    <w:rPr>
      <w:rFonts w:ascii="Arial" w:eastAsia="Arial" w:hAnsi="Arial" w:cs="Arial"/>
      <w:b/>
      <w:sz w:val="22"/>
    </w:rPr>
  </w:style>
  <w:style w:type="paragraph" w:styleId="Virsraksts6">
    <w:name w:val="heading 6"/>
    <w:basedOn w:val="Parasts"/>
    <w:next w:val="Parasts"/>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pPr>
      <w:contextualSpacing/>
    </w:pPr>
    <w:rPr>
      <w:rFonts w:ascii="Palatino" w:eastAsia="Palatino" w:hAnsi="Palatino" w:cs="Palatino"/>
      <w:sz w:val="60"/>
    </w:rPr>
  </w:style>
  <w:style w:type="paragraph" w:styleId="Apakvirsraksts">
    <w:name w:val="Subtitle"/>
    <w:basedOn w:val="Parasts"/>
    <w:next w:val="Parasts"/>
    <w:pPr>
      <w:spacing w:before="60"/>
      <w:contextualSpacing/>
    </w:pPr>
    <w:rPr>
      <w:rFonts w:ascii="Arial" w:eastAsia="Arial" w:hAnsi="Arial" w:cs="Arial"/>
    </w:rPr>
  </w:style>
  <w:style w:type="paragraph" w:customStyle="1" w:styleId="paragraph">
    <w:name w:val="paragraph"/>
    <w:basedOn w:val="Parasts"/>
    <w:next w:val="Parasts"/>
    <w:pPr>
      <w:spacing w:before="280"/>
      <w:ind w:left="705"/>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table" w:customStyle="1" w:styleId="a">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25949</Words>
  <Characters>14791</Characters>
  <Application>Microsoft Office Word</Application>
  <DocSecurity>0</DocSecurity>
  <Lines>123</Lines>
  <Paragraphs>81</Paragraphs>
  <ScaleCrop>false</ScaleCrop>
  <HeadingPairs>
    <vt:vector size="2" baseType="variant">
      <vt:variant>
        <vt:lpstr>Nosaukums</vt:lpstr>
      </vt:variant>
      <vt:variant>
        <vt:i4>1</vt:i4>
      </vt:variant>
    </vt:vector>
  </HeadingPairs>
  <TitlesOfParts>
    <vt:vector size="1" baseType="lpstr">
      <vt:lpstr>likumprojekts_22-TA-3504.docx</vt:lpstr>
    </vt:vector>
  </TitlesOfParts>
  <Company/>
  <LinksUpToDate>false</LinksUpToDate>
  <CharactersWithSpaces>40659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likumprojekts_22-TA-3504.docx</dc:title>
  <dc:creator>Maris Liopa</dc:creator>
  <cp:lastModifiedBy>Maris Liopa</cp:lastModifiedBy>
  <cp:revision>2</cp:revision>
  <dcterms:created xsi:type="dcterms:W3CDTF">2023-03-08T15:29:00Z</dcterms:created>
  <dcterms:modified xsi:type="dcterms:W3CDTF">2023-03-08T15:29:00Z</dcterms:modified>
</cp:coreProperties>
</file>